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color w:val="001AE6"/>
          <w:sz w:val="52"/>
          <w:szCs w:val="52"/>
        </w:rPr>
      </w:pPr>
      <w:r>
        <w:rPr>
          <w:rFonts w:ascii="Avenir-Black" w:hAnsi="Avenir-Black" w:cs="Avenir-Black"/>
          <w:color w:val="001AE6"/>
          <w:sz w:val="52"/>
          <w:szCs w:val="52"/>
        </w:rPr>
        <w:t>Potential KPIs for CDI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32"/>
          <w:szCs w:val="32"/>
        </w:rPr>
      </w:pPr>
      <w:r>
        <w:rPr>
          <w:rFonts w:ascii="Avenir-Medium" w:hAnsi="Avenir-Medium" w:cs="Avenir-Medium"/>
          <w:color w:val="71665C"/>
          <w:sz w:val="32"/>
          <w:szCs w:val="32"/>
        </w:rPr>
        <w:t>Enhanced Validity, Reliability, and Relevance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bookmarkStart w:id="0" w:name="_GoBack"/>
      <w:bookmarkEnd w:id="0"/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• # and dollar amount of claims with query post-coding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• # and dollar amount of claims with query post-coding/# and dollar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amount claims DNFB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• # and dollar amount medical necessity denials measured per month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(gross and net patient revenue)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• # and dollar amount clinical validation denials measured per month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(gross and net patient revenue)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 xml:space="preserve">• # and dollar amount of DRG </w:t>
      </w:r>
      <w:proofErr w:type="spellStart"/>
      <w:r>
        <w:rPr>
          <w:rFonts w:ascii="Avenir-Medium" w:hAnsi="Avenir-Medium" w:cs="Avenir-Medium"/>
          <w:color w:val="71665C"/>
          <w:sz w:val="24"/>
          <w:szCs w:val="24"/>
        </w:rPr>
        <w:t>downcodes</w:t>
      </w:r>
      <w:proofErr w:type="spellEnd"/>
      <w:r>
        <w:rPr>
          <w:rFonts w:ascii="Avenir-Medium" w:hAnsi="Avenir-Medium" w:cs="Avenir-Medium"/>
          <w:color w:val="71665C"/>
          <w:sz w:val="24"/>
          <w:szCs w:val="24"/>
        </w:rPr>
        <w:t xml:space="preserve"> measured per month (gross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and net patient revenue)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• Medical necessity claims denial rate measured per month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• Clinical validation claims denial rate measured per month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 xml:space="preserve">• # and dollar amount of DRG </w:t>
      </w:r>
      <w:proofErr w:type="spellStart"/>
      <w:r>
        <w:rPr>
          <w:rFonts w:ascii="Avenir-Medium" w:hAnsi="Avenir-Medium" w:cs="Avenir-Medium"/>
          <w:color w:val="71665C"/>
          <w:sz w:val="24"/>
          <w:szCs w:val="24"/>
        </w:rPr>
        <w:t>downcodes</w:t>
      </w:r>
      <w:proofErr w:type="spellEnd"/>
      <w:r>
        <w:rPr>
          <w:rFonts w:ascii="Avenir-Medium" w:hAnsi="Avenir-Medium" w:cs="Avenir-Medium"/>
          <w:color w:val="71665C"/>
          <w:sz w:val="24"/>
          <w:szCs w:val="24"/>
        </w:rPr>
        <w:t xml:space="preserve"> measured per month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• Claims appeal overturn rate measured per month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• Also measured by medical necessity, clinical validation and DRG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proofErr w:type="spellStart"/>
      <w:r>
        <w:rPr>
          <w:rFonts w:ascii="Avenir-Medium" w:hAnsi="Avenir-Medium" w:cs="Avenir-Medium"/>
          <w:color w:val="71665C"/>
          <w:sz w:val="24"/>
          <w:szCs w:val="24"/>
        </w:rPr>
        <w:t>downcode</w:t>
      </w:r>
      <w:proofErr w:type="spellEnd"/>
      <w:r>
        <w:rPr>
          <w:rFonts w:ascii="Avenir-Medium" w:hAnsi="Avenir-Medium" w:cs="Avenir-Medium"/>
          <w:color w:val="71665C"/>
          <w:sz w:val="24"/>
          <w:szCs w:val="24"/>
        </w:rPr>
        <w:t xml:space="preserve"> claims appeal overturn individually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• Net monthly case-mix trends (Case-mix achieved-minus medical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necessity denial case-mix)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• Adjusted net patient revenue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• Monthly net patient revenue –medical necessity, clinical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 xml:space="preserve">validation and DRG </w:t>
      </w:r>
      <w:proofErr w:type="spellStart"/>
      <w:r>
        <w:rPr>
          <w:rFonts w:ascii="Avenir-Medium" w:hAnsi="Avenir-Medium" w:cs="Avenir-Medium"/>
          <w:color w:val="71665C"/>
          <w:sz w:val="24"/>
          <w:szCs w:val="24"/>
        </w:rPr>
        <w:t>downcode</w:t>
      </w:r>
      <w:proofErr w:type="spellEnd"/>
      <w:r>
        <w:rPr>
          <w:rFonts w:ascii="Avenir-Medium" w:hAnsi="Avenir-Medium" w:cs="Avenir-Medium"/>
          <w:color w:val="71665C"/>
          <w:sz w:val="24"/>
          <w:szCs w:val="24"/>
        </w:rPr>
        <w:t xml:space="preserve"> denial net patient revenue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• # and dollar amount of medical necessity/clinical validation denials</w:t>
      </w:r>
    </w:p>
    <w:p w:rsidR="00502865" w:rsidRDefault="00502865" w:rsidP="00502865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71665C"/>
          <w:sz w:val="24"/>
          <w:szCs w:val="24"/>
        </w:rPr>
      </w:pPr>
      <w:r>
        <w:rPr>
          <w:rFonts w:ascii="Avenir-Medium" w:hAnsi="Avenir-Medium" w:cs="Avenir-Medium"/>
          <w:color w:val="71665C"/>
          <w:sz w:val="24"/>
          <w:szCs w:val="24"/>
        </w:rPr>
        <w:t>per month broken out by individual physician (gross and net patient</w:t>
      </w:r>
    </w:p>
    <w:p w:rsidR="003F01A6" w:rsidRDefault="00502865" w:rsidP="00502865">
      <w:r>
        <w:rPr>
          <w:rFonts w:ascii="Avenir-Medium" w:hAnsi="Avenir-Medium" w:cs="Avenir-Medium"/>
          <w:color w:val="71665C"/>
          <w:sz w:val="24"/>
          <w:szCs w:val="24"/>
        </w:rPr>
        <w:t>revenue) provided as a report card</w:t>
      </w:r>
    </w:p>
    <w:sectPr w:rsidR="003F0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30"/>
    <w:rsid w:val="003F01A6"/>
    <w:rsid w:val="00502865"/>
    <w:rsid w:val="0098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76FF"/>
  <w15:chartTrackingRefBased/>
  <w15:docId w15:val="{D433ECCA-A7E3-4BCB-81BF-9DCA9E5C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Murphy</dc:creator>
  <cp:keywords/>
  <dc:description/>
  <cp:lastModifiedBy>Brian Murphy</cp:lastModifiedBy>
  <cp:revision>2</cp:revision>
  <dcterms:created xsi:type="dcterms:W3CDTF">2016-10-04T19:55:00Z</dcterms:created>
  <dcterms:modified xsi:type="dcterms:W3CDTF">2016-10-04T19:55:00Z</dcterms:modified>
</cp:coreProperties>
</file>