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C731" w14:textId="1C1A5747" w:rsidR="00BA38EB" w:rsidRPr="00BA38EB" w:rsidRDefault="00BA38EB" w:rsidP="00E522BD">
      <w:pPr>
        <w:pStyle w:val="NoSpacing"/>
        <w:rPr>
          <w:rFonts w:cstheme="minorHAnsi"/>
          <w:sz w:val="28"/>
          <w:szCs w:val="28"/>
        </w:rPr>
      </w:pPr>
    </w:p>
    <w:p w14:paraId="3992FDD0" w14:textId="12F97F19" w:rsidR="00BA38EB" w:rsidRPr="00BA38EB" w:rsidRDefault="0093103E" w:rsidP="00E522BD">
      <w:pPr>
        <w:pStyle w:val="NoSpacing"/>
        <w:rPr>
          <w:rFonts w:cstheme="minorHAnsi"/>
          <w:sz w:val="28"/>
          <w:szCs w:val="28"/>
        </w:rPr>
      </w:pPr>
      <w:r>
        <w:rPr>
          <w:rFonts w:cstheme="minorHAnsi"/>
          <w:sz w:val="28"/>
          <w:szCs w:val="28"/>
        </w:rPr>
        <w:t xml:space="preserve">Physicians: </w:t>
      </w:r>
      <w:r w:rsidR="00BA38EB" w:rsidRPr="00BA38EB">
        <w:rPr>
          <w:rFonts w:cstheme="minorHAnsi"/>
          <w:sz w:val="28"/>
          <w:szCs w:val="28"/>
        </w:rPr>
        <w:t xml:space="preserve">Review new </w:t>
      </w:r>
      <w:r w:rsidRPr="0093103E">
        <w:rPr>
          <w:rFonts w:cstheme="minorHAnsi"/>
          <w:sz w:val="28"/>
          <w:szCs w:val="28"/>
        </w:rPr>
        <w:t xml:space="preserve">community-acquired pneumonia </w:t>
      </w:r>
      <w:r w:rsidR="00BA38EB" w:rsidRPr="00BA38EB">
        <w:rPr>
          <w:rFonts w:cstheme="minorHAnsi"/>
          <w:sz w:val="28"/>
          <w:szCs w:val="28"/>
        </w:rPr>
        <w:t>guidelines for 2020</w:t>
      </w:r>
    </w:p>
    <w:p w14:paraId="7B5AE181" w14:textId="6BDD0388" w:rsidR="00BA38EB" w:rsidRPr="00BA38EB" w:rsidRDefault="00BA38EB" w:rsidP="00E522BD">
      <w:pPr>
        <w:pStyle w:val="NoSpacing"/>
        <w:rPr>
          <w:rFonts w:cstheme="minorHAnsi"/>
          <w:i/>
          <w:iCs/>
        </w:rPr>
      </w:pPr>
      <w:r w:rsidRPr="00BA38EB">
        <w:rPr>
          <w:rFonts w:cstheme="minorHAnsi"/>
          <w:i/>
          <w:iCs/>
        </w:rPr>
        <w:t>by William E. Haik, MD, FCCP, CDIP, AHIMA-approved ICD-10-CM/PCS trainer</w:t>
      </w:r>
    </w:p>
    <w:p w14:paraId="02D763BF" w14:textId="77777777" w:rsidR="00BA38EB" w:rsidRDefault="00BA38EB" w:rsidP="00E522BD">
      <w:pPr>
        <w:pStyle w:val="NoSpacing"/>
        <w:rPr>
          <w:rFonts w:cstheme="minorHAnsi"/>
        </w:rPr>
      </w:pPr>
    </w:p>
    <w:p w14:paraId="13C3621F" w14:textId="145E2A9C" w:rsidR="00E522BD" w:rsidRDefault="00E522BD" w:rsidP="00E522BD">
      <w:pPr>
        <w:pStyle w:val="NoSpacing"/>
        <w:rPr>
          <w:rFonts w:cstheme="minorHAnsi"/>
        </w:rPr>
      </w:pPr>
      <w:r w:rsidRPr="00BA38EB">
        <w:rPr>
          <w:rFonts w:cstheme="minorHAnsi"/>
        </w:rPr>
        <w:t xml:space="preserve">New guidelines have been published regarding the diagnosis and treatment of adults with </w:t>
      </w:r>
      <w:r w:rsidR="00BA38EB" w:rsidRPr="00BA38EB">
        <w:rPr>
          <w:rFonts w:cstheme="minorHAnsi"/>
        </w:rPr>
        <w:t>community-acquired pneumonia</w:t>
      </w:r>
      <w:r w:rsidRPr="00BA38EB">
        <w:rPr>
          <w:rFonts w:cstheme="minorHAnsi"/>
        </w:rPr>
        <w:t xml:space="preserve"> </w:t>
      </w:r>
      <w:hyperlink r:id="rId8" w:history="1">
        <w:r w:rsidRPr="00BA38EB">
          <w:rPr>
            <w:rStyle w:val="Hyperlink"/>
            <w:rFonts w:cstheme="minorHAnsi"/>
          </w:rPr>
          <w:t>by the American Thoracic Society and Infectious Diseases Society of America</w:t>
        </w:r>
      </w:hyperlink>
      <w:r w:rsidRPr="00BA38EB">
        <w:rPr>
          <w:rFonts w:cstheme="minorHAnsi"/>
        </w:rPr>
        <w:t xml:space="preserve">. The updated guidelines are an attempt to better identify those persons at risk for pneumonias due to multiple drug resistant bacteria such as gram-negative rods (i.e. </w:t>
      </w:r>
      <w:r w:rsidR="00BA38EB">
        <w:rPr>
          <w:rFonts w:cstheme="minorHAnsi"/>
        </w:rPr>
        <w:t>p</w:t>
      </w:r>
      <w:r w:rsidRPr="00BA38EB">
        <w:rPr>
          <w:rFonts w:cstheme="minorHAnsi"/>
        </w:rPr>
        <w:t>seudomonas) and methicillin</w:t>
      </w:r>
      <w:r w:rsidR="0093103E">
        <w:rPr>
          <w:rFonts w:cstheme="minorHAnsi"/>
        </w:rPr>
        <w:t>-</w:t>
      </w:r>
      <w:r w:rsidRPr="00BA38EB">
        <w:rPr>
          <w:rFonts w:cstheme="minorHAnsi"/>
        </w:rPr>
        <w:t>resistant staphylococcus</w:t>
      </w:r>
      <w:r w:rsidR="0093103E">
        <w:rPr>
          <w:rFonts w:cstheme="minorHAnsi"/>
        </w:rPr>
        <w:t xml:space="preserve"> aureus </w:t>
      </w:r>
      <w:r w:rsidRPr="00BA38EB">
        <w:rPr>
          <w:rFonts w:cstheme="minorHAnsi"/>
        </w:rPr>
        <w:t xml:space="preserve">(MRSA).  </w:t>
      </w:r>
    </w:p>
    <w:p w14:paraId="10F4C533" w14:textId="193DE1BD" w:rsidR="00BA38EB" w:rsidRPr="00BA38EB" w:rsidRDefault="00BA38EB" w:rsidP="00E522BD">
      <w:pPr>
        <w:pStyle w:val="NoSpacing"/>
        <w:rPr>
          <w:rFonts w:cstheme="minorHAnsi"/>
          <w:b/>
          <w:bCs/>
        </w:rPr>
      </w:pPr>
    </w:p>
    <w:p w14:paraId="7609C994" w14:textId="524809F3" w:rsidR="00BA38EB" w:rsidRPr="00BA38EB" w:rsidRDefault="00BA38EB" w:rsidP="00E522BD">
      <w:pPr>
        <w:pStyle w:val="NoSpacing"/>
        <w:rPr>
          <w:rFonts w:cstheme="minorHAnsi"/>
          <w:b/>
          <w:bCs/>
        </w:rPr>
      </w:pPr>
      <w:r w:rsidRPr="00BA38EB">
        <w:rPr>
          <w:rFonts w:cstheme="minorHAnsi"/>
          <w:b/>
          <w:bCs/>
        </w:rPr>
        <w:t>Guideline changes</w:t>
      </w:r>
    </w:p>
    <w:p w14:paraId="4997FF40" w14:textId="77777777" w:rsidR="00E522BD" w:rsidRPr="00BA38EB" w:rsidRDefault="00E522BD" w:rsidP="00E522BD">
      <w:pPr>
        <w:pStyle w:val="NoSpacing"/>
        <w:rPr>
          <w:rFonts w:cstheme="minorHAnsi"/>
        </w:rPr>
      </w:pPr>
    </w:p>
    <w:p w14:paraId="472FAD4E" w14:textId="56A2B46F" w:rsidR="00BA38EB" w:rsidRDefault="00E522BD" w:rsidP="00E522BD">
      <w:pPr>
        <w:pStyle w:val="NoSpacing"/>
        <w:rPr>
          <w:rFonts w:cstheme="minorHAnsi"/>
        </w:rPr>
      </w:pPr>
      <w:r w:rsidRPr="00BA38EB">
        <w:rPr>
          <w:rFonts w:cstheme="minorHAnsi"/>
        </w:rPr>
        <w:t xml:space="preserve">These guidelines state that </w:t>
      </w:r>
      <w:r w:rsidR="00BA38EB" w:rsidRPr="00BA38EB">
        <w:rPr>
          <w:rFonts w:cstheme="minorHAnsi"/>
        </w:rPr>
        <w:t xml:space="preserve">healthcare-associated pneumonia </w:t>
      </w:r>
      <w:r w:rsidRPr="00BA38EB">
        <w:rPr>
          <w:rFonts w:cstheme="minorHAnsi"/>
        </w:rPr>
        <w:t>is no longer a risk factor</w:t>
      </w:r>
      <w:r w:rsidR="00E439CF" w:rsidRPr="00BA38EB">
        <w:rPr>
          <w:rFonts w:cstheme="minorHAnsi"/>
        </w:rPr>
        <w:t xml:space="preserve"> for multiple drug resistant bacteria.</w:t>
      </w:r>
      <w:r w:rsidRPr="00BA38EB">
        <w:rPr>
          <w:rFonts w:cstheme="minorHAnsi"/>
        </w:rPr>
        <w:t xml:space="preserve"> </w:t>
      </w:r>
    </w:p>
    <w:p w14:paraId="447BA62C" w14:textId="77777777" w:rsidR="00BA38EB" w:rsidRDefault="00BA38EB" w:rsidP="00E522BD">
      <w:pPr>
        <w:pStyle w:val="NoSpacing"/>
        <w:rPr>
          <w:rFonts w:cstheme="minorHAnsi"/>
        </w:rPr>
      </w:pPr>
    </w:p>
    <w:p w14:paraId="46DA1129" w14:textId="77777777" w:rsidR="00BA38EB" w:rsidRDefault="00E522BD" w:rsidP="00E522BD">
      <w:pPr>
        <w:pStyle w:val="NoSpacing"/>
        <w:rPr>
          <w:rFonts w:cstheme="minorHAnsi"/>
        </w:rPr>
      </w:pPr>
      <w:r w:rsidRPr="00BA38EB">
        <w:rPr>
          <w:rFonts w:cstheme="minorHAnsi"/>
        </w:rPr>
        <w:t xml:space="preserve">Therefore, based on the updated guidelines, admissions from </w:t>
      </w:r>
      <w:r w:rsidR="00BA38EB">
        <w:rPr>
          <w:rFonts w:cstheme="minorHAnsi"/>
        </w:rPr>
        <w:t>skilled nursing facilities</w:t>
      </w:r>
      <w:r w:rsidRPr="00BA38EB">
        <w:rPr>
          <w:rFonts w:cstheme="minorHAnsi"/>
        </w:rPr>
        <w:t xml:space="preserve">, nursing homes, dialysis units, home health receiving wound care, etc. are not by themselves sufficient criteria to clinically support a diagnosis of gram-negative pneumonia in the absence of bacteriological confirmation of a specific organism. </w:t>
      </w:r>
    </w:p>
    <w:p w14:paraId="12C0EEE0" w14:textId="77777777" w:rsidR="00BA38EB" w:rsidRDefault="00BA38EB" w:rsidP="00E522BD">
      <w:pPr>
        <w:pStyle w:val="NoSpacing"/>
        <w:rPr>
          <w:rFonts w:cstheme="minorHAnsi"/>
        </w:rPr>
      </w:pPr>
    </w:p>
    <w:p w14:paraId="672818BC" w14:textId="36D133E7" w:rsidR="00E522BD" w:rsidRPr="00BA38EB" w:rsidRDefault="00E439CF" w:rsidP="00E522BD">
      <w:pPr>
        <w:pStyle w:val="NoSpacing"/>
        <w:rPr>
          <w:rFonts w:cstheme="minorHAnsi"/>
        </w:rPr>
      </w:pPr>
      <w:r w:rsidRPr="00BA38EB">
        <w:rPr>
          <w:rFonts w:cstheme="minorHAnsi"/>
        </w:rPr>
        <w:t>This updated guideline will better identify high-risk patients for these pneumonias and therefore permit a more focused use of potent antibiotics</w:t>
      </w:r>
    </w:p>
    <w:p w14:paraId="0849C003" w14:textId="77777777" w:rsidR="00E522BD" w:rsidRPr="00BA38EB" w:rsidRDefault="00E522BD" w:rsidP="00E522BD">
      <w:pPr>
        <w:pStyle w:val="NoSpacing"/>
        <w:rPr>
          <w:rFonts w:cstheme="minorHAnsi"/>
        </w:rPr>
      </w:pPr>
    </w:p>
    <w:p w14:paraId="1057F328" w14:textId="52AD80AD" w:rsidR="00E522BD" w:rsidRPr="00BA38EB" w:rsidRDefault="00E522BD" w:rsidP="00E522BD">
      <w:pPr>
        <w:pStyle w:val="NoSpacing"/>
        <w:rPr>
          <w:rFonts w:cstheme="minorHAnsi"/>
        </w:rPr>
      </w:pPr>
      <w:r w:rsidRPr="00BA38EB">
        <w:rPr>
          <w:rFonts w:cstheme="minorHAnsi"/>
        </w:rPr>
        <w:t>Under the new guidelines</w:t>
      </w:r>
      <w:r w:rsidR="00BA38EB">
        <w:rPr>
          <w:rFonts w:cstheme="minorHAnsi"/>
        </w:rPr>
        <w:t>,</w:t>
      </w:r>
      <w:r w:rsidRPr="00BA38EB">
        <w:rPr>
          <w:rFonts w:cstheme="minorHAnsi"/>
        </w:rPr>
        <w:t xml:space="preserve"> increased emphasis will be placed on the review of previous encounters prior to the current admission to delineate if there has been hospitalization and parenteral antibiotic usage within the past 90 days. Additionally, previous infection with </w:t>
      </w:r>
      <w:r w:rsidR="00BA38EB">
        <w:rPr>
          <w:rFonts w:cstheme="minorHAnsi"/>
        </w:rPr>
        <w:t>g</w:t>
      </w:r>
      <w:r w:rsidRPr="00BA38EB">
        <w:rPr>
          <w:rFonts w:cstheme="minorHAnsi"/>
        </w:rPr>
        <w:t>ram</w:t>
      </w:r>
      <w:r w:rsidR="00566CC7">
        <w:rPr>
          <w:rFonts w:cstheme="minorHAnsi"/>
        </w:rPr>
        <w:t>-</w:t>
      </w:r>
      <w:r w:rsidRPr="00BA38EB">
        <w:rPr>
          <w:rFonts w:cstheme="minorHAnsi"/>
        </w:rPr>
        <w:t>negative rods or MRSA in the last year</w:t>
      </w:r>
      <w:r w:rsidR="00BA38EB">
        <w:rPr>
          <w:rFonts w:cstheme="minorHAnsi"/>
        </w:rPr>
        <w:t xml:space="preserve"> </w:t>
      </w:r>
      <w:r w:rsidRPr="00BA38EB">
        <w:rPr>
          <w:rFonts w:cstheme="minorHAnsi"/>
        </w:rPr>
        <w:t xml:space="preserve">should also be scrutinized </w:t>
      </w:r>
    </w:p>
    <w:p w14:paraId="191804A0" w14:textId="77777777" w:rsidR="00E522BD" w:rsidRPr="00BA38EB" w:rsidRDefault="00E522BD" w:rsidP="00E522BD">
      <w:pPr>
        <w:pStyle w:val="NoSpacing"/>
        <w:rPr>
          <w:rFonts w:cstheme="minorHAnsi"/>
        </w:rPr>
      </w:pPr>
    </w:p>
    <w:p w14:paraId="49761F5A" w14:textId="4DFF3565" w:rsidR="00E522BD" w:rsidRPr="00BA38EB" w:rsidRDefault="00E522BD" w:rsidP="00E522BD">
      <w:pPr>
        <w:pStyle w:val="NoSpacing"/>
        <w:rPr>
          <w:rFonts w:cstheme="minorHAnsi"/>
        </w:rPr>
      </w:pPr>
      <w:r w:rsidRPr="00BA38EB">
        <w:rPr>
          <w:rFonts w:cstheme="minorHAnsi"/>
        </w:rPr>
        <w:t>B</w:t>
      </w:r>
      <w:r w:rsidR="00530DB1" w:rsidRPr="00BA38EB">
        <w:rPr>
          <w:rFonts w:cstheme="minorHAnsi"/>
        </w:rPr>
        <w:t>ased on the above,</w:t>
      </w:r>
      <w:r w:rsidRPr="00BA38EB">
        <w:rPr>
          <w:rFonts w:cstheme="minorHAnsi"/>
        </w:rPr>
        <w:t xml:space="preserve"> criteria to clinically validate a diagnosis of </w:t>
      </w:r>
      <w:r w:rsidR="00BA38EB">
        <w:rPr>
          <w:rFonts w:cstheme="minorHAnsi"/>
        </w:rPr>
        <w:t>g</w:t>
      </w:r>
      <w:r w:rsidRPr="00BA38EB">
        <w:rPr>
          <w:rFonts w:cstheme="minorHAnsi"/>
        </w:rPr>
        <w:t>ram-negative and MRSA</w:t>
      </w:r>
      <w:r w:rsidR="00BA38EB">
        <w:rPr>
          <w:rFonts w:cstheme="minorHAnsi"/>
        </w:rPr>
        <w:t xml:space="preserve"> </w:t>
      </w:r>
      <w:r w:rsidRPr="00BA38EB">
        <w:rPr>
          <w:rFonts w:cstheme="minorHAnsi"/>
        </w:rPr>
        <w:t>pneumonia</w:t>
      </w:r>
      <w:r w:rsidR="00530DB1" w:rsidRPr="00BA38EB">
        <w:rPr>
          <w:rFonts w:cstheme="minorHAnsi"/>
        </w:rPr>
        <w:t xml:space="preserve"> is outlined below.</w:t>
      </w:r>
      <w:r w:rsidRPr="00BA38EB">
        <w:rPr>
          <w:rFonts w:cstheme="minorHAnsi"/>
        </w:rPr>
        <w:t xml:space="preserve"> </w:t>
      </w:r>
    </w:p>
    <w:p w14:paraId="539DA67F" w14:textId="77777777" w:rsidR="00E522BD" w:rsidRPr="00BA38EB" w:rsidRDefault="00E522BD" w:rsidP="00E522BD">
      <w:pPr>
        <w:spacing w:before="57" w:line="259" w:lineRule="auto"/>
        <w:ind w:left="140" w:right="423"/>
        <w:rPr>
          <w:rFonts w:asciiTheme="minorHAnsi" w:hAnsiTheme="minorHAnsi" w:cstheme="minorHAnsi"/>
        </w:rPr>
      </w:pPr>
    </w:p>
    <w:p w14:paraId="62093811" w14:textId="7AA384F6" w:rsidR="00E522BD" w:rsidRPr="0093103E" w:rsidRDefault="00E522BD" w:rsidP="00E522BD">
      <w:pPr>
        <w:spacing w:before="57" w:line="259" w:lineRule="auto"/>
        <w:ind w:right="423"/>
        <w:rPr>
          <w:rFonts w:asciiTheme="minorHAnsi" w:hAnsiTheme="minorHAnsi" w:cstheme="minorHAnsi"/>
          <w:b/>
          <w:bCs/>
        </w:rPr>
      </w:pPr>
      <w:r w:rsidRPr="0093103E">
        <w:rPr>
          <w:rFonts w:asciiTheme="minorHAnsi" w:hAnsiTheme="minorHAnsi" w:cstheme="minorHAnsi"/>
          <w:b/>
          <w:bCs/>
        </w:rPr>
        <w:t xml:space="preserve">Gram-negative </w:t>
      </w:r>
      <w:r w:rsidR="00BA38EB" w:rsidRPr="0093103E">
        <w:rPr>
          <w:rFonts w:asciiTheme="minorHAnsi" w:hAnsiTheme="minorHAnsi" w:cstheme="minorHAnsi"/>
          <w:b/>
          <w:bCs/>
        </w:rPr>
        <w:t>p</w:t>
      </w:r>
      <w:r w:rsidRPr="0093103E">
        <w:rPr>
          <w:rFonts w:asciiTheme="minorHAnsi" w:hAnsiTheme="minorHAnsi" w:cstheme="minorHAnsi"/>
          <w:b/>
          <w:bCs/>
        </w:rPr>
        <w:t>neumonia</w:t>
      </w:r>
    </w:p>
    <w:p w14:paraId="16B8CD87" w14:textId="48BACB34" w:rsidR="00E522BD" w:rsidRPr="00BA38EB" w:rsidRDefault="00E522BD" w:rsidP="00BA38EB">
      <w:pPr>
        <w:spacing w:before="57" w:line="259" w:lineRule="auto"/>
        <w:ind w:right="423"/>
        <w:rPr>
          <w:rFonts w:asciiTheme="minorHAnsi" w:hAnsiTheme="minorHAnsi" w:cstheme="minorHAnsi"/>
        </w:rPr>
      </w:pPr>
      <w:r w:rsidRPr="00BA38EB">
        <w:rPr>
          <w:rFonts w:asciiTheme="minorHAnsi" w:hAnsiTheme="minorHAnsi" w:cstheme="minorHAnsi"/>
        </w:rPr>
        <w:t xml:space="preserve">Risk factors for </w:t>
      </w:r>
      <w:r w:rsidR="00BA38EB">
        <w:rPr>
          <w:rFonts w:asciiTheme="minorHAnsi" w:hAnsiTheme="minorHAnsi" w:cstheme="minorHAnsi"/>
        </w:rPr>
        <w:t>g</w:t>
      </w:r>
      <w:r w:rsidRPr="00BA38EB">
        <w:rPr>
          <w:rFonts w:asciiTheme="minorHAnsi" w:hAnsiTheme="minorHAnsi" w:cstheme="minorHAnsi"/>
        </w:rPr>
        <w:t xml:space="preserve">ram-negative bacterial pneumonia </w:t>
      </w:r>
      <w:r w:rsidR="0093103E">
        <w:rPr>
          <w:rFonts w:asciiTheme="minorHAnsi" w:hAnsiTheme="minorHAnsi" w:cstheme="minorHAnsi"/>
        </w:rPr>
        <w:t xml:space="preserve">must contain </w:t>
      </w:r>
      <w:r w:rsidRPr="00BA38EB">
        <w:rPr>
          <w:rFonts w:asciiTheme="minorHAnsi" w:hAnsiTheme="minorHAnsi" w:cstheme="minorHAnsi"/>
        </w:rPr>
        <w:t>one of the following:</w:t>
      </w:r>
    </w:p>
    <w:p w14:paraId="4AB1765B" w14:textId="7AB3C127" w:rsidR="00E522BD" w:rsidRPr="00BA38EB" w:rsidRDefault="00E522BD" w:rsidP="00BA38EB">
      <w:pPr>
        <w:pStyle w:val="ListParagraph"/>
        <w:numPr>
          <w:ilvl w:val="0"/>
          <w:numId w:val="17"/>
        </w:numPr>
        <w:spacing w:before="57" w:line="259" w:lineRule="auto"/>
        <w:ind w:right="423"/>
        <w:rPr>
          <w:rFonts w:asciiTheme="minorHAnsi" w:hAnsiTheme="minorHAnsi" w:cstheme="minorHAnsi"/>
        </w:rPr>
      </w:pPr>
      <w:r w:rsidRPr="00BA38EB">
        <w:rPr>
          <w:rFonts w:asciiTheme="minorHAnsi" w:hAnsiTheme="minorHAnsi" w:cstheme="minorHAnsi"/>
        </w:rPr>
        <w:t xml:space="preserve">Known </w:t>
      </w:r>
      <w:r w:rsidR="0093103E">
        <w:rPr>
          <w:rFonts w:asciiTheme="minorHAnsi" w:hAnsiTheme="minorHAnsi" w:cstheme="minorHAnsi"/>
        </w:rPr>
        <w:t>p</w:t>
      </w:r>
      <w:r w:rsidRPr="00BA38EB">
        <w:rPr>
          <w:rFonts w:asciiTheme="minorHAnsi" w:hAnsiTheme="minorHAnsi" w:cstheme="minorHAnsi"/>
        </w:rPr>
        <w:t>seudomonas colonization or infection in the prior 12 months</w:t>
      </w:r>
    </w:p>
    <w:p w14:paraId="15165162" w14:textId="2FEBA21F" w:rsidR="00E522BD" w:rsidRPr="00BA38EB" w:rsidRDefault="00E522BD" w:rsidP="00BA38EB">
      <w:pPr>
        <w:pStyle w:val="ListParagraph"/>
        <w:numPr>
          <w:ilvl w:val="0"/>
          <w:numId w:val="17"/>
        </w:numPr>
        <w:spacing w:before="57" w:line="259" w:lineRule="auto"/>
        <w:ind w:right="423"/>
        <w:rPr>
          <w:rFonts w:asciiTheme="minorHAnsi" w:hAnsiTheme="minorHAnsi" w:cstheme="minorHAnsi"/>
        </w:rPr>
      </w:pPr>
      <w:r w:rsidRPr="00BA38EB">
        <w:rPr>
          <w:rFonts w:asciiTheme="minorHAnsi" w:hAnsiTheme="minorHAnsi" w:cstheme="minorHAnsi"/>
        </w:rPr>
        <w:t xml:space="preserve">Detection of </w:t>
      </w:r>
      <w:r w:rsidR="00BA38EB">
        <w:rPr>
          <w:rFonts w:asciiTheme="minorHAnsi" w:hAnsiTheme="minorHAnsi" w:cstheme="minorHAnsi"/>
        </w:rPr>
        <w:t>g</w:t>
      </w:r>
      <w:r w:rsidRPr="00BA38EB">
        <w:rPr>
          <w:rFonts w:asciiTheme="minorHAnsi" w:hAnsiTheme="minorHAnsi" w:cstheme="minorHAnsi"/>
        </w:rPr>
        <w:t xml:space="preserve">ram-negative rods on a quality sputum </w:t>
      </w:r>
      <w:r w:rsidR="00BA38EB">
        <w:rPr>
          <w:rFonts w:asciiTheme="minorHAnsi" w:hAnsiTheme="minorHAnsi" w:cstheme="minorHAnsi"/>
        </w:rPr>
        <w:t>g</w:t>
      </w:r>
      <w:r w:rsidRPr="00BA38EB">
        <w:rPr>
          <w:rFonts w:asciiTheme="minorHAnsi" w:hAnsiTheme="minorHAnsi" w:cstheme="minorHAnsi"/>
        </w:rPr>
        <w:t>ram stain</w:t>
      </w:r>
    </w:p>
    <w:p w14:paraId="143CEBA7" w14:textId="77777777" w:rsidR="00E522BD" w:rsidRPr="00BA38EB" w:rsidRDefault="00E522BD" w:rsidP="00BA38EB">
      <w:pPr>
        <w:pStyle w:val="ListParagraph"/>
        <w:numPr>
          <w:ilvl w:val="0"/>
          <w:numId w:val="17"/>
        </w:numPr>
        <w:spacing w:before="57" w:line="259" w:lineRule="auto"/>
        <w:ind w:right="423"/>
        <w:rPr>
          <w:rFonts w:asciiTheme="minorHAnsi" w:hAnsiTheme="minorHAnsi" w:cstheme="minorHAnsi"/>
        </w:rPr>
      </w:pPr>
      <w:r w:rsidRPr="00BA38EB">
        <w:rPr>
          <w:rFonts w:asciiTheme="minorHAnsi" w:hAnsiTheme="minorHAnsi" w:cstheme="minorHAnsi"/>
        </w:rPr>
        <w:t xml:space="preserve">Patient hospitalized </w:t>
      </w:r>
      <w:r w:rsidRPr="00BA38EB">
        <w:rPr>
          <w:rFonts w:asciiTheme="minorHAnsi" w:hAnsiTheme="minorHAnsi" w:cstheme="minorHAnsi"/>
          <w:b/>
          <w:bCs/>
        </w:rPr>
        <w:t>and</w:t>
      </w:r>
      <w:r w:rsidRPr="00BA38EB">
        <w:rPr>
          <w:rFonts w:asciiTheme="minorHAnsi" w:hAnsiTheme="minorHAnsi" w:cstheme="minorHAnsi"/>
        </w:rPr>
        <w:t xml:space="preserve"> received parenteral antibiotics, whether during the hospitalization or not, within the last 90 days</w:t>
      </w:r>
    </w:p>
    <w:p w14:paraId="0029315A" w14:textId="77777777" w:rsidR="00E522BD" w:rsidRPr="00BA38EB" w:rsidRDefault="00E522BD" w:rsidP="00BA38EB">
      <w:pPr>
        <w:pStyle w:val="ListParagraph"/>
        <w:numPr>
          <w:ilvl w:val="0"/>
          <w:numId w:val="17"/>
        </w:numPr>
        <w:spacing w:before="57" w:line="259" w:lineRule="auto"/>
        <w:ind w:right="423"/>
        <w:rPr>
          <w:rFonts w:asciiTheme="minorHAnsi" w:hAnsiTheme="minorHAnsi" w:cstheme="minorHAnsi"/>
        </w:rPr>
      </w:pPr>
      <w:r w:rsidRPr="00BA38EB">
        <w:rPr>
          <w:rFonts w:asciiTheme="minorHAnsi" w:hAnsiTheme="minorHAnsi" w:cstheme="minorHAnsi"/>
        </w:rPr>
        <w:t>Structural lung disease such as:</w:t>
      </w:r>
    </w:p>
    <w:p w14:paraId="4756E857" w14:textId="77777777" w:rsidR="00E522BD" w:rsidRPr="00BA38EB" w:rsidRDefault="00E522BD" w:rsidP="00BA38EB">
      <w:pPr>
        <w:pStyle w:val="ListParagraph"/>
        <w:numPr>
          <w:ilvl w:val="1"/>
          <w:numId w:val="17"/>
        </w:numPr>
        <w:spacing w:before="57" w:line="259" w:lineRule="auto"/>
        <w:ind w:right="423"/>
        <w:rPr>
          <w:rFonts w:asciiTheme="minorHAnsi" w:hAnsiTheme="minorHAnsi" w:cstheme="minorHAnsi"/>
        </w:rPr>
      </w:pPr>
      <w:r w:rsidRPr="00BA38EB">
        <w:rPr>
          <w:rFonts w:asciiTheme="minorHAnsi" w:hAnsiTheme="minorHAnsi" w:cstheme="minorHAnsi"/>
        </w:rPr>
        <w:t>Bronchiectasis</w:t>
      </w:r>
    </w:p>
    <w:p w14:paraId="6C1C369C" w14:textId="77777777" w:rsidR="00E522BD" w:rsidRPr="00BA38EB" w:rsidRDefault="00E522BD" w:rsidP="00BA38EB">
      <w:pPr>
        <w:pStyle w:val="ListParagraph"/>
        <w:numPr>
          <w:ilvl w:val="1"/>
          <w:numId w:val="17"/>
        </w:numPr>
        <w:spacing w:before="57" w:line="259" w:lineRule="auto"/>
        <w:ind w:right="423"/>
        <w:rPr>
          <w:rFonts w:asciiTheme="minorHAnsi" w:hAnsiTheme="minorHAnsi" w:cstheme="minorHAnsi"/>
        </w:rPr>
      </w:pPr>
      <w:r w:rsidRPr="00BA38EB">
        <w:rPr>
          <w:rFonts w:asciiTheme="minorHAnsi" w:hAnsiTheme="minorHAnsi" w:cstheme="minorHAnsi"/>
        </w:rPr>
        <w:t>Cystic fibrosis</w:t>
      </w:r>
    </w:p>
    <w:p w14:paraId="1167E135" w14:textId="77777777" w:rsidR="00E522BD" w:rsidRPr="00BA38EB" w:rsidRDefault="00E522BD" w:rsidP="00BA38EB">
      <w:pPr>
        <w:pStyle w:val="ListParagraph"/>
        <w:numPr>
          <w:ilvl w:val="1"/>
          <w:numId w:val="17"/>
        </w:numPr>
        <w:spacing w:before="57" w:line="259" w:lineRule="auto"/>
        <w:ind w:right="423"/>
        <w:rPr>
          <w:rFonts w:asciiTheme="minorHAnsi" w:hAnsiTheme="minorHAnsi" w:cstheme="minorHAnsi"/>
        </w:rPr>
      </w:pPr>
      <w:r w:rsidRPr="00BA38EB">
        <w:rPr>
          <w:rFonts w:asciiTheme="minorHAnsi" w:hAnsiTheme="minorHAnsi" w:cstheme="minorHAnsi"/>
        </w:rPr>
        <w:t xml:space="preserve">Chronic lung disease </w:t>
      </w:r>
    </w:p>
    <w:p w14:paraId="59375C55" w14:textId="79364F8D" w:rsidR="00E522BD" w:rsidRPr="00BA38EB" w:rsidRDefault="00E522BD" w:rsidP="00BA38EB">
      <w:pPr>
        <w:pStyle w:val="ListParagraph"/>
        <w:numPr>
          <w:ilvl w:val="1"/>
          <w:numId w:val="17"/>
        </w:numPr>
        <w:spacing w:before="57" w:line="259" w:lineRule="auto"/>
        <w:ind w:right="423"/>
        <w:rPr>
          <w:rFonts w:asciiTheme="minorHAnsi" w:hAnsiTheme="minorHAnsi" w:cstheme="minorHAnsi"/>
        </w:rPr>
      </w:pPr>
      <w:r w:rsidRPr="00BA38EB">
        <w:rPr>
          <w:rFonts w:asciiTheme="minorHAnsi" w:hAnsiTheme="minorHAnsi" w:cstheme="minorHAnsi"/>
        </w:rPr>
        <w:t>Major airway obstruction (post-obstructive pneumonia)</w:t>
      </w:r>
    </w:p>
    <w:p w14:paraId="3BDE1DEB" w14:textId="3AD93CEF" w:rsidR="00E522BD" w:rsidRPr="00BA38EB" w:rsidRDefault="00E522BD" w:rsidP="00BA38EB">
      <w:pPr>
        <w:pStyle w:val="ListParagraph"/>
        <w:widowControl/>
        <w:numPr>
          <w:ilvl w:val="0"/>
          <w:numId w:val="17"/>
        </w:numPr>
        <w:autoSpaceDE/>
        <w:autoSpaceDN/>
        <w:spacing w:line="276" w:lineRule="auto"/>
        <w:contextualSpacing/>
        <w:rPr>
          <w:rFonts w:asciiTheme="minorHAnsi" w:hAnsiTheme="minorHAnsi" w:cstheme="minorHAnsi"/>
        </w:rPr>
      </w:pPr>
      <w:r w:rsidRPr="00BA38EB">
        <w:rPr>
          <w:rFonts w:asciiTheme="minorHAnsi" w:hAnsiTheme="minorHAnsi" w:cstheme="minorHAnsi"/>
        </w:rPr>
        <w:t>Immunosuppression/</w:t>
      </w:r>
      <w:r w:rsidR="00BA38EB">
        <w:rPr>
          <w:rFonts w:asciiTheme="minorHAnsi" w:hAnsiTheme="minorHAnsi" w:cstheme="minorHAnsi"/>
        </w:rPr>
        <w:t>i</w:t>
      </w:r>
      <w:r w:rsidRPr="00BA38EB">
        <w:rPr>
          <w:rFonts w:asciiTheme="minorHAnsi" w:hAnsiTheme="minorHAnsi" w:cstheme="minorHAnsi"/>
        </w:rPr>
        <w:t>mmunocompromised such as:</w:t>
      </w:r>
    </w:p>
    <w:p w14:paraId="532E8F92"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HIV with reduced CD4 count</w:t>
      </w:r>
    </w:p>
    <w:p w14:paraId="3C46ADA7"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Autoimmune disorders</w:t>
      </w:r>
    </w:p>
    <w:p w14:paraId="7E80C2CB"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 xml:space="preserve">Cancer (advanced stage, visceral, hematological, or metastatic) </w:t>
      </w:r>
    </w:p>
    <w:p w14:paraId="2CBDF1DD"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Myeloproliferative and myelodysplastic disorders</w:t>
      </w:r>
    </w:p>
    <w:p w14:paraId="0DF4788A"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Drug induced neutropenia</w:t>
      </w:r>
    </w:p>
    <w:p w14:paraId="76C10405" w14:textId="4660564B"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Immunosuppressive drugs (chronic prednisone use</w:t>
      </w:r>
      <w:r w:rsidR="0093103E">
        <w:rPr>
          <w:rFonts w:asciiTheme="minorHAnsi" w:hAnsiTheme="minorHAnsi" w:cstheme="minorHAnsi"/>
        </w:rPr>
        <w:t xml:space="preserve">, </w:t>
      </w:r>
      <w:r w:rsidRPr="00BA38EB">
        <w:rPr>
          <w:rFonts w:asciiTheme="minorHAnsi" w:hAnsiTheme="minorHAnsi" w:cstheme="minorHAnsi"/>
        </w:rPr>
        <w:t xml:space="preserve">chemotherapy) </w:t>
      </w:r>
    </w:p>
    <w:p w14:paraId="65C4355E"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Solid organ or bone marrow transplant recipients on chronic immunosuppression</w:t>
      </w:r>
    </w:p>
    <w:p w14:paraId="3340333D"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lastRenderedPageBreak/>
        <w:t>Diabetes</w:t>
      </w:r>
    </w:p>
    <w:p w14:paraId="40FA67B4"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Chronic malnutrition</w:t>
      </w:r>
    </w:p>
    <w:p w14:paraId="6169353D" w14:textId="23148DCD" w:rsidR="00E522BD" w:rsidRPr="00C751A3" w:rsidRDefault="00C751A3" w:rsidP="00C751A3">
      <w:pPr>
        <w:pStyle w:val="ListParagraph"/>
        <w:ind w:left="720" w:firstLine="0"/>
        <w:rPr>
          <w:rFonts w:asciiTheme="minorHAnsi" w:hAnsiTheme="minorHAnsi" w:cstheme="minorHAnsi"/>
        </w:rPr>
      </w:pPr>
      <w:r w:rsidRPr="00C751A3">
        <w:rPr>
          <w:rFonts w:asciiTheme="minorHAnsi" w:hAnsiTheme="minorHAnsi" w:cstheme="minorHAnsi"/>
        </w:rPr>
        <w:t xml:space="preserve">           </w:t>
      </w:r>
      <w:bookmarkStart w:id="0" w:name="_GoBack"/>
      <w:bookmarkEnd w:id="0"/>
      <w:r w:rsidRPr="00C751A3">
        <w:rPr>
          <w:rFonts w:asciiTheme="minorHAnsi" w:hAnsiTheme="minorHAnsi" w:cstheme="minorHAnsi"/>
        </w:rPr>
        <w:t xml:space="preserve"> </w:t>
      </w:r>
      <w:r>
        <w:rPr>
          <w:rFonts w:asciiTheme="minorHAnsi" w:hAnsiTheme="minorHAnsi" w:cstheme="minorHAnsi"/>
        </w:rPr>
        <w:t xml:space="preserve"> </w:t>
      </w:r>
      <w:r w:rsidRPr="00C751A3">
        <w:rPr>
          <w:rFonts w:asciiTheme="minorHAnsi" w:hAnsiTheme="minorHAnsi" w:cstheme="minorHAnsi"/>
        </w:rPr>
        <w:t xml:space="preserve"> </w:t>
      </w:r>
      <w:r w:rsidR="00E522BD" w:rsidRPr="00C751A3">
        <w:rPr>
          <w:rFonts w:asciiTheme="minorHAnsi" w:hAnsiTheme="minorHAnsi" w:cstheme="minorHAnsi"/>
        </w:rPr>
        <w:t>C</w:t>
      </w:r>
      <w:r w:rsidR="0093103E" w:rsidRPr="00C751A3">
        <w:rPr>
          <w:rFonts w:asciiTheme="minorHAnsi" w:hAnsiTheme="minorHAnsi" w:cstheme="minorHAnsi"/>
        </w:rPr>
        <w:t>hronic kidney disease</w:t>
      </w:r>
    </w:p>
    <w:p w14:paraId="1C2C3EA1"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Cirrhosis</w:t>
      </w:r>
    </w:p>
    <w:p w14:paraId="686B5551"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Alcoholism</w:t>
      </w:r>
    </w:p>
    <w:p w14:paraId="78B4F26B" w14:textId="77777777" w:rsidR="00E522BD" w:rsidRPr="00BA38EB" w:rsidRDefault="00E522BD" w:rsidP="00BA38EB">
      <w:pPr>
        <w:pStyle w:val="ListParagraph"/>
        <w:widowControl/>
        <w:numPr>
          <w:ilvl w:val="1"/>
          <w:numId w:val="17"/>
        </w:numPr>
        <w:autoSpaceDE/>
        <w:autoSpaceDN/>
        <w:spacing w:after="200" w:line="276" w:lineRule="auto"/>
        <w:contextualSpacing/>
        <w:rPr>
          <w:rFonts w:asciiTheme="minorHAnsi" w:hAnsiTheme="minorHAnsi" w:cstheme="minorHAnsi"/>
        </w:rPr>
      </w:pPr>
      <w:r w:rsidRPr="00BA38EB">
        <w:rPr>
          <w:rFonts w:asciiTheme="minorHAnsi" w:hAnsiTheme="minorHAnsi" w:cstheme="minorHAnsi"/>
        </w:rPr>
        <w:t>Asplenia</w:t>
      </w:r>
    </w:p>
    <w:p w14:paraId="2CA888EE" w14:textId="1FC43A6B" w:rsidR="00E522BD" w:rsidRPr="0093103E" w:rsidRDefault="00E522BD" w:rsidP="0093103E">
      <w:pPr>
        <w:pStyle w:val="ListParagraph"/>
        <w:widowControl/>
        <w:numPr>
          <w:ilvl w:val="1"/>
          <w:numId w:val="17"/>
        </w:numPr>
        <w:autoSpaceDE/>
        <w:autoSpaceDN/>
        <w:spacing w:after="200" w:line="276" w:lineRule="auto"/>
        <w:contextualSpacing/>
        <w:rPr>
          <w:rFonts w:asciiTheme="minorHAnsi" w:hAnsiTheme="minorHAnsi" w:cstheme="minorHAnsi"/>
          <w:b/>
          <w:bCs/>
        </w:rPr>
      </w:pPr>
      <w:r w:rsidRPr="00BA38EB">
        <w:rPr>
          <w:rFonts w:asciiTheme="minorHAnsi" w:hAnsiTheme="minorHAnsi" w:cstheme="minorHAnsi"/>
        </w:rPr>
        <w:t xml:space="preserve">Congestive heart failure </w:t>
      </w:r>
      <w:r w:rsidRPr="0093103E">
        <w:rPr>
          <w:rFonts w:asciiTheme="minorHAnsi" w:hAnsiTheme="minorHAnsi" w:cstheme="minorHAnsi"/>
          <w:b/>
          <w:bCs/>
        </w:rPr>
        <w:t xml:space="preserve"> </w:t>
      </w:r>
    </w:p>
    <w:p w14:paraId="5899D958" w14:textId="1983503D" w:rsidR="00E522BD" w:rsidRPr="0093103E" w:rsidRDefault="0093103E" w:rsidP="0093103E">
      <w:pPr>
        <w:widowControl/>
        <w:autoSpaceDE/>
        <w:autoSpaceDN/>
        <w:spacing w:after="200" w:line="276" w:lineRule="auto"/>
        <w:contextualSpacing/>
        <w:rPr>
          <w:rFonts w:asciiTheme="minorHAnsi" w:hAnsiTheme="minorHAnsi" w:cstheme="minorHAnsi"/>
          <w:iCs/>
        </w:rPr>
      </w:pPr>
      <w:bookmarkStart w:id="1" w:name="_Hlk29816087"/>
      <w:r w:rsidRPr="0093103E">
        <w:rPr>
          <w:rFonts w:asciiTheme="minorHAnsi" w:hAnsiTheme="minorHAnsi" w:cstheme="minorHAnsi"/>
        </w:rPr>
        <w:t>One of the previous risk factors must be</w:t>
      </w:r>
      <w:r w:rsidR="00566CC7">
        <w:rPr>
          <w:rFonts w:asciiTheme="minorHAnsi" w:hAnsiTheme="minorHAnsi" w:cstheme="minorHAnsi"/>
        </w:rPr>
        <w:t xml:space="preserve"> present</w:t>
      </w:r>
      <w:r w:rsidRPr="0093103E">
        <w:rPr>
          <w:rFonts w:asciiTheme="minorHAnsi" w:hAnsiTheme="minorHAnsi" w:cstheme="minorHAnsi"/>
        </w:rPr>
        <w:t xml:space="preserve"> in conjunction with a</w:t>
      </w:r>
      <w:r w:rsidR="00E522BD" w:rsidRPr="0093103E">
        <w:rPr>
          <w:rFonts w:asciiTheme="minorHAnsi" w:hAnsiTheme="minorHAnsi" w:cstheme="minorHAnsi"/>
        </w:rPr>
        <w:t>ppropriate antibiotic coverage</w:t>
      </w:r>
      <w:r w:rsidRPr="0093103E">
        <w:rPr>
          <w:rFonts w:asciiTheme="minorHAnsi" w:hAnsiTheme="minorHAnsi" w:cstheme="minorHAnsi"/>
        </w:rPr>
        <w:t xml:space="preserve">. This </w:t>
      </w:r>
      <w:r w:rsidR="00566CC7">
        <w:rPr>
          <w:rFonts w:asciiTheme="minorHAnsi" w:hAnsiTheme="minorHAnsi" w:cstheme="minorHAnsi"/>
        </w:rPr>
        <w:t>means</w:t>
      </w:r>
      <w:r w:rsidR="00E522BD" w:rsidRPr="0093103E">
        <w:rPr>
          <w:rFonts w:asciiTheme="minorHAnsi" w:hAnsiTheme="minorHAnsi" w:cstheme="minorHAnsi"/>
        </w:rPr>
        <w:t xml:space="preserve"> at least one of the following </w:t>
      </w:r>
      <w:r w:rsidR="00566CC7">
        <w:rPr>
          <w:rFonts w:asciiTheme="minorHAnsi" w:hAnsiTheme="minorHAnsi" w:cstheme="minorHAnsi"/>
        </w:rPr>
        <w:t xml:space="preserve">antibiotics must be taken </w:t>
      </w:r>
      <w:r w:rsidR="00E522BD" w:rsidRPr="0093103E">
        <w:rPr>
          <w:rFonts w:asciiTheme="minorHAnsi" w:hAnsiTheme="minorHAnsi" w:cstheme="minorHAnsi"/>
        </w:rPr>
        <w:t xml:space="preserve">for a minimum of </w:t>
      </w:r>
      <w:r w:rsidRPr="0093103E">
        <w:rPr>
          <w:rFonts w:asciiTheme="minorHAnsi" w:hAnsiTheme="minorHAnsi" w:cstheme="minorHAnsi"/>
        </w:rPr>
        <w:t>five</w:t>
      </w:r>
      <w:r w:rsidR="00E522BD" w:rsidRPr="0093103E">
        <w:rPr>
          <w:rFonts w:asciiTheme="minorHAnsi" w:hAnsiTheme="minorHAnsi" w:cstheme="minorHAnsi"/>
        </w:rPr>
        <w:t xml:space="preserve"> days </w:t>
      </w:r>
      <w:r w:rsidR="00E522BD" w:rsidRPr="0093103E">
        <w:rPr>
          <w:rFonts w:asciiTheme="minorHAnsi" w:hAnsiTheme="minorHAnsi" w:cstheme="minorHAnsi"/>
          <w:iCs/>
        </w:rPr>
        <w:t xml:space="preserve">(unless cultures allow for </w:t>
      </w:r>
      <w:proofErr w:type="spellStart"/>
      <w:r w:rsidR="00E522BD" w:rsidRPr="0093103E">
        <w:rPr>
          <w:rFonts w:asciiTheme="minorHAnsi" w:hAnsiTheme="minorHAnsi" w:cstheme="minorHAnsi"/>
          <w:iCs/>
        </w:rPr>
        <w:t>deescalation</w:t>
      </w:r>
      <w:proofErr w:type="spellEnd"/>
      <w:r w:rsidR="00E522BD" w:rsidRPr="0093103E">
        <w:rPr>
          <w:rFonts w:asciiTheme="minorHAnsi" w:hAnsiTheme="minorHAnsi" w:cstheme="minorHAnsi"/>
          <w:iCs/>
        </w:rPr>
        <w:t xml:space="preserve"> of treatment):</w:t>
      </w:r>
    </w:p>
    <w:bookmarkEnd w:id="1"/>
    <w:p w14:paraId="2133D85E" w14:textId="04D5943B"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Piperacillin-tazobactam</w:t>
      </w:r>
    </w:p>
    <w:p w14:paraId="5D0047FE" w14:textId="094BFFA4"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Cefepime</w:t>
      </w:r>
    </w:p>
    <w:p w14:paraId="6ED6BDCD" w14:textId="295F8945"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Ceftazidime</w:t>
      </w:r>
    </w:p>
    <w:p w14:paraId="3F3C5C35" w14:textId="19A5335A"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Aztreonam</w:t>
      </w:r>
    </w:p>
    <w:p w14:paraId="09AA251D" w14:textId="7DF5FA70"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Imipenem/meropenem</w:t>
      </w:r>
    </w:p>
    <w:p w14:paraId="5F5E846D" w14:textId="086406BE"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Aminoglycosides (</w:t>
      </w:r>
      <w:r w:rsidR="00566CC7">
        <w:rPr>
          <w:rFonts w:asciiTheme="minorHAnsi" w:hAnsiTheme="minorHAnsi" w:cstheme="minorHAnsi"/>
        </w:rPr>
        <w:t>i</w:t>
      </w:r>
      <w:r w:rsidRPr="0093103E">
        <w:rPr>
          <w:rFonts w:asciiTheme="minorHAnsi" w:hAnsiTheme="minorHAnsi" w:cstheme="minorHAnsi"/>
        </w:rPr>
        <w:t>.</w:t>
      </w:r>
      <w:r w:rsidR="00566CC7">
        <w:rPr>
          <w:rFonts w:asciiTheme="minorHAnsi" w:hAnsiTheme="minorHAnsi" w:cstheme="minorHAnsi"/>
        </w:rPr>
        <w:t>e</w:t>
      </w:r>
      <w:r w:rsidRPr="0093103E">
        <w:rPr>
          <w:rFonts w:asciiTheme="minorHAnsi" w:hAnsiTheme="minorHAnsi" w:cstheme="minorHAnsi"/>
        </w:rPr>
        <w:t>. Tobramycin)</w:t>
      </w:r>
    </w:p>
    <w:p w14:paraId="480B40F5" w14:textId="1C963872" w:rsidR="00E522BD" w:rsidRPr="0093103E" w:rsidRDefault="0093103E" w:rsidP="0093103E">
      <w:pPr>
        <w:pStyle w:val="ListParagraph"/>
        <w:widowControl/>
        <w:numPr>
          <w:ilvl w:val="0"/>
          <w:numId w:val="21"/>
        </w:numPr>
        <w:autoSpaceDE/>
        <w:autoSpaceDN/>
        <w:spacing w:after="200" w:line="276" w:lineRule="auto"/>
        <w:contextualSpacing/>
        <w:rPr>
          <w:rFonts w:asciiTheme="minorHAnsi" w:hAnsiTheme="minorHAnsi" w:cstheme="minorHAnsi"/>
        </w:rPr>
      </w:pPr>
      <w:r w:rsidRPr="0093103E">
        <w:rPr>
          <w:rFonts w:asciiTheme="minorHAnsi" w:hAnsiTheme="minorHAnsi" w:cstheme="minorHAnsi"/>
        </w:rPr>
        <w:t>Quinolones (dependent on clinical scenario)</w:t>
      </w:r>
    </w:p>
    <w:p w14:paraId="78AC08BB" w14:textId="75772713" w:rsidR="00E522BD" w:rsidRPr="00BA38EB" w:rsidRDefault="00E522BD" w:rsidP="00BA38EB">
      <w:pPr>
        <w:widowControl/>
        <w:autoSpaceDE/>
        <w:autoSpaceDN/>
        <w:spacing w:after="200" w:line="276" w:lineRule="auto"/>
        <w:contextualSpacing/>
        <w:rPr>
          <w:rFonts w:asciiTheme="minorHAnsi" w:hAnsiTheme="minorHAnsi" w:cstheme="minorHAnsi"/>
        </w:rPr>
      </w:pPr>
      <w:r w:rsidRPr="00BA38EB">
        <w:rPr>
          <w:rFonts w:asciiTheme="minorHAnsi" w:hAnsiTheme="minorHAnsi" w:cstheme="minorHAnsi"/>
        </w:rPr>
        <w:t>Note</w:t>
      </w:r>
      <w:r w:rsidR="0093103E">
        <w:rPr>
          <w:rFonts w:asciiTheme="minorHAnsi" w:hAnsiTheme="minorHAnsi" w:cstheme="minorHAnsi"/>
        </w:rPr>
        <w:t xml:space="preserve"> that </w:t>
      </w:r>
      <w:proofErr w:type="spellStart"/>
      <w:r w:rsidR="0093103E">
        <w:rPr>
          <w:rFonts w:asciiTheme="minorHAnsi" w:hAnsiTheme="minorHAnsi" w:cstheme="minorHAnsi"/>
        </w:rPr>
        <w:t>d</w:t>
      </w:r>
      <w:r w:rsidRPr="00BA38EB">
        <w:rPr>
          <w:rFonts w:asciiTheme="minorHAnsi" w:hAnsiTheme="minorHAnsi" w:cstheme="minorHAnsi"/>
        </w:rPr>
        <w:t>eescalation</w:t>
      </w:r>
      <w:proofErr w:type="spellEnd"/>
      <w:r w:rsidRPr="00BA38EB">
        <w:rPr>
          <w:rFonts w:asciiTheme="minorHAnsi" w:hAnsiTheme="minorHAnsi" w:cstheme="minorHAnsi"/>
        </w:rPr>
        <w:t xml:space="preserve"> of treatment to antibiotics known to be used for empiric coverage o</w:t>
      </w:r>
      <w:r w:rsidR="0093103E">
        <w:rPr>
          <w:rFonts w:asciiTheme="minorHAnsi" w:hAnsiTheme="minorHAnsi" w:cstheme="minorHAnsi"/>
        </w:rPr>
        <w:t xml:space="preserve">f </w:t>
      </w:r>
      <w:r w:rsidR="0093103E">
        <w:rPr>
          <w:rFonts w:asciiTheme="minorHAnsi" w:hAnsiTheme="minorHAnsi" w:cstheme="minorHAnsi"/>
          <w:color w:val="000000" w:themeColor="text1"/>
        </w:rPr>
        <w:t>g</w:t>
      </w:r>
      <w:r w:rsidRPr="00BA38EB">
        <w:rPr>
          <w:rFonts w:asciiTheme="minorHAnsi" w:hAnsiTheme="minorHAnsi" w:cstheme="minorHAnsi"/>
          <w:color w:val="000000" w:themeColor="text1"/>
        </w:rPr>
        <w:t xml:space="preserve">ram-negative </w:t>
      </w:r>
      <w:r w:rsidRPr="00BA38EB">
        <w:rPr>
          <w:rFonts w:asciiTheme="minorHAnsi" w:hAnsiTheme="minorHAnsi" w:cstheme="minorHAnsi"/>
        </w:rPr>
        <w:t xml:space="preserve">pneumonias (Augmentin, </w:t>
      </w:r>
      <w:proofErr w:type="spellStart"/>
      <w:r w:rsidRPr="00BA38EB">
        <w:rPr>
          <w:rFonts w:asciiTheme="minorHAnsi" w:hAnsiTheme="minorHAnsi" w:cstheme="minorHAnsi"/>
        </w:rPr>
        <w:t>Vantin</w:t>
      </w:r>
      <w:proofErr w:type="spellEnd"/>
      <w:r w:rsidRPr="00BA38EB">
        <w:rPr>
          <w:rFonts w:asciiTheme="minorHAnsi" w:hAnsiTheme="minorHAnsi" w:cstheme="minorHAnsi"/>
        </w:rPr>
        <w:t xml:space="preserve">, etc.) does not preclude a diagnosis of </w:t>
      </w:r>
      <w:r w:rsidR="0093103E">
        <w:rPr>
          <w:rFonts w:asciiTheme="minorHAnsi" w:hAnsiTheme="minorHAnsi" w:cstheme="minorHAnsi"/>
        </w:rPr>
        <w:t>g</w:t>
      </w:r>
      <w:r w:rsidRPr="00BA38EB">
        <w:rPr>
          <w:rFonts w:asciiTheme="minorHAnsi" w:hAnsiTheme="minorHAnsi" w:cstheme="minorHAnsi"/>
        </w:rPr>
        <w:t xml:space="preserve">ram-negative pneumonia unless cultures identify an alternative causative organism.    </w:t>
      </w:r>
    </w:p>
    <w:p w14:paraId="7AD7DCC0" w14:textId="114540E4" w:rsidR="00E522BD" w:rsidRPr="0093103E" w:rsidRDefault="00E522BD" w:rsidP="00E522BD">
      <w:pPr>
        <w:pStyle w:val="BodyText"/>
        <w:ind w:left="0"/>
        <w:rPr>
          <w:rFonts w:asciiTheme="minorHAnsi" w:hAnsiTheme="minorHAnsi" w:cstheme="minorHAnsi"/>
          <w:b/>
          <w:bCs/>
          <w:i w:val="0"/>
        </w:rPr>
      </w:pPr>
      <w:r w:rsidRPr="0093103E">
        <w:rPr>
          <w:rFonts w:asciiTheme="minorHAnsi" w:hAnsiTheme="minorHAnsi" w:cstheme="minorHAnsi"/>
          <w:b/>
          <w:bCs/>
          <w:i w:val="0"/>
        </w:rPr>
        <w:t xml:space="preserve">MRSA </w:t>
      </w:r>
      <w:r w:rsidR="0093103E" w:rsidRPr="0093103E">
        <w:rPr>
          <w:rFonts w:asciiTheme="minorHAnsi" w:hAnsiTheme="minorHAnsi" w:cstheme="minorHAnsi"/>
          <w:b/>
          <w:bCs/>
          <w:i w:val="0"/>
        </w:rPr>
        <w:t>p</w:t>
      </w:r>
      <w:r w:rsidRPr="0093103E">
        <w:rPr>
          <w:rFonts w:asciiTheme="minorHAnsi" w:hAnsiTheme="minorHAnsi" w:cstheme="minorHAnsi"/>
          <w:b/>
          <w:bCs/>
          <w:i w:val="0"/>
        </w:rPr>
        <w:t>neumonia</w:t>
      </w:r>
    </w:p>
    <w:p w14:paraId="463CA477" w14:textId="47CD5DFE" w:rsidR="00E522BD" w:rsidRPr="0093103E" w:rsidRDefault="00E522BD" w:rsidP="0093103E">
      <w:pPr>
        <w:spacing w:before="57" w:line="259" w:lineRule="auto"/>
        <w:ind w:right="423"/>
        <w:rPr>
          <w:rFonts w:asciiTheme="minorHAnsi" w:hAnsiTheme="minorHAnsi" w:cstheme="minorHAnsi"/>
        </w:rPr>
      </w:pPr>
      <w:r w:rsidRPr="0093103E">
        <w:rPr>
          <w:rFonts w:asciiTheme="minorHAnsi" w:hAnsiTheme="minorHAnsi" w:cstheme="minorHAnsi"/>
        </w:rPr>
        <w:t>Risk factors for MRSA pneumonia</w:t>
      </w:r>
      <w:r w:rsidRPr="0093103E">
        <w:rPr>
          <w:rFonts w:asciiTheme="minorHAnsi" w:hAnsiTheme="minorHAnsi" w:cstheme="minorHAnsi"/>
          <w:i/>
          <w:iCs/>
        </w:rPr>
        <w:t xml:space="preserve"> </w:t>
      </w:r>
      <w:r w:rsidR="0093103E">
        <w:rPr>
          <w:rFonts w:asciiTheme="minorHAnsi" w:hAnsiTheme="minorHAnsi" w:cstheme="minorHAnsi"/>
        </w:rPr>
        <w:t xml:space="preserve">must contain </w:t>
      </w:r>
      <w:r w:rsidRPr="0093103E">
        <w:rPr>
          <w:rFonts w:asciiTheme="minorHAnsi" w:hAnsiTheme="minorHAnsi" w:cstheme="minorHAnsi"/>
        </w:rPr>
        <w:t>one of the following:</w:t>
      </w:r>
    </w:p>
    <w:p w14:paraId="1F7E46AB" w14:textId="77777777" w:rsidR="00E522BD" w:rsidRPr="00BA38EB" w:rsidRDefault="00E522BD" w:rsidP="0093103E">
      <w:pPr>
        <w:pStyle w:val="ListParagraph"/>
        <w:widowControl/>
        <w:numPr>
          <w:ilvl w:val="0"/>
          <w:numId w:val="17"/>
        </w:numPr>
        <w:autoSpaceDE/>
        <w:autoSpaceDN/>
        <w:spacing w:line="259" w:lineRule="auto"/>
        <w:contextualSpacing/>
        <w:rPr>
          <w:rFonts w:asciiTheme="minorHAnsi" w:hAnsiTheme="minorHAnsi" w:cstheme="minorHAnsi"/>
        </w:rPr>
      </w:pPr>
      <w:r w:rsidRPr="00BA38EB">
        <w:rPr>
          <w:rFonts w:asciiTheme="minorHAnsi" w:hAnsiTheme="minorHAnsi" w:cstheme="minorHAnsi"/>
        </w:rPr>
        <w:t>Known MRSA colonization</w:t>
      </w:r>
    </w:p>
    <w:p w14:paraId="4A69D501" w14:textId="77777777" w:rsidR="00E522BD" w:rsidRPr="00BA38EB" w:rsidRDefault="00E522BD" w:rsidP="0093103E">
      <w:pPr>
        <w:pStyle w:val="ListParagraph"/>
        <w:widowControl/>
        <w:numPr>
          <w:ilvl w:val="0"/>
          <w:numId w:val="17"/>
        </w:numPr>
        <w:autoSpaceDE/>
        <w:autoSpaceDN/>
        <w:spacing w:line="259" w:lineRule="auto"/>
        <w:contextualSpacing/>
        <w:rPr>
          <w:rFonts w:asciiTheme="minorHAnsi" w:hAnsiTheme="minorHAnsi" w:cstheme="minorHAnsi"/>
        </w:rPr>
      </w:pPr>
      <w:r w:rsidRPr="00BA38EB">
        <w:rPr>
          <w:rFonts w:asciiTheme="minorHAnsi" w:hAnsiTheme="minorHAnsi" w:cstheme="minorHAnsi"/>
        </w:rPr>
        <w:t>MRSA in a respiratory culture in the prior year</w:t>
      </w:r>
    </w:p>
    <w:p w14:paraId="591D5AC2" w14:textId="77777777" w:rsidR="00E522BD" w:rsidRPr="00BA38EB" w:rsidRDefault="00E522BD" w:rsidP="0093103E">
      <w:pPr>
        <w:pStyle w:val="ListParagraph"/>
        <w:widowControl/>
        <w:numPr>
          <w:ilvl w:val="0"/>
          <w:numId w:val="17"/>
        </w:numPr>
        <w:autoSpaceDE/>
        <w:autoSpaceDN/>
        <w:spacing w:line="259" w:lineRule="auto"/>
        <w:contextualSpacing/>
        <w:rPr>
          <w:rFonts w:asciiTheme="minorHAnsi" w:hAnsiTheme="minorHAnsi" w:cstheme="minorHAnsi"/>
        </w:rPr>
      </w:pPr>
      <w:r w:rsidRPr="00BA38EB">
        <w:rPr>
          <w:rFonts w:asciiTheme="minorHAnsi" w:hAnsiTheme="minorHAnsi" w:cstheme="minorHAnsi"/>
        </w:rPr>
        <w:t>IV antibiotics and hospitalization in the prior 90 days</w:t>
      </w:r>
    </w:p>
    <w:p w14:paraId="562FA4AF" w14:textId="77777777" w:rsidR="00E522BD" w:rsidRPr="00BA38EB" w:rsidRDefault="00E522BD" w:rsidP="0093103E">
      <w:pPr>
        <w:pStyle w:val="ListParagraph"/>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Cavitary infiltrate or necrosis</w:t>
      </w:r>
    </w:p>
    <w:p w14:paraId="7CCDB01A" w14:textId="77777777" w:rsidR="00E522BD" w:rsidRPr="00BA38EB" w:rsidRDefault="00E522BD" w:rsidP="0093103E">
      <w:pPr>
        <w:pStyle w:val="ListParagraph"/>
        <w:widowControl/>
        <w:numPr>
          <w:ilvl w:val="0"/>
          <w:numId w:val="17"/>
        </w:numPr>
        <w:autoSpaceDE/>
        <w:autoSpaceDN/>
        <w:spacing w:before="0" w:line="259" w:lineRule="auto"/>
        <w:contextualSpacing/>
        <w:rPr>
          <w:rFonts w:asciiTheme="minorHAnsi" w:hAnsiTheme="minorHAnsi" w:cstheme="minorHAnsi"/>
        </w:rPr>
      </w:pPr>
      <w:r w:rsidRPr="00BA38EB">
        <w:rPr>
          <w:rFonts w:asciiTheme="minorHAnsi" w:hAnsiTheme="minorHAnsi" w:cstheme="minorHAnsi"/>
        </w:rPr>
        <w:t>antibiotics and hospitalization in the prior 90 days</w:t>
      </w:r>
    </w:p>
    <w:p w14:paraId="79E9D02D"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Gross hemoptysis (not just blood-streaked)</w:t>
      </w:r>
    </w:p>
    <w:p w14:paraId="19E43C92"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Concurrent influenza</w:t>
      </w:r>
    </w:p>
    <w:p w14:paraId="63F46801"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Neutropenia</w:t>
      </w:r>
    </w:p>
    <w:p w14:paraId="3246ECB2"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Erythematous rash</w:t>
      </w:r>
    </w:p>
    <w:p w14:paraId="65F32594"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bCs/>
        </w:rPr>
      </w:pPr>
      <w:r w:rsidRPr="00BA38EB">
        <w:rPr>
          <w:rFonts w:asciiTheme="minorHAnsi" w:hAnsiTheme="minorHAnsi" w:cstheme="minorHAnsi"/>
        </w:rPr>
        <w:t>Skin pustules</w:t>
      </w:r>
    </w:p>
    <w:p w14:paraId="3BF59275"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Young previously healthy patient with severe pneumonia</w:t>
      </w:r>
    </w:p>
    <w:p w14:paraId="5700575D" w14:textId="77777777" w:rsidR="00E522BD" w:rsidRPr="00BA38EB" w:rsidRDefault="00E522BD" w:rsidP="0093103E">
      <w:pPr>
        <w:widowControl/>
        <w:numPr>
          <w:ilvl w:val="0"/>
          <w:numId w:val="17"/>
        </w:numPr>
        <w:autoSpaceDE/>
        <w:autoSpaceDN/>
        <w:spacing w:line="259" w:lineRule="auto"/>
        <w:rPr>
          <w:rFonts w:asciiTheme="minorHAnsi" w:hAnsiTheme="minorHAnsi" w:cstheme="minorHAnsi"/>
          <w:b/>
        </w:rPr>
      </w:pPr>
      <w:r w:rsidRPr="00BA38EB">
        <w:rPr>
          <w:rFonts w:asciiTheme="minorHAnsi" w:hAnsiTheme="minorHAnsi" w:cstheme="minorHAnsi"/>
        </w:rPr>
        <w:t>Severe pneumonia during summer months</w:t>
      </w:r>
    </w:p>
    <w:p w14:paraId="2EE4608C" w14:textId="2C9BC180" w:rsidR="00E522BD" w:rsidRPr="0093103E" w:rsidRDefault="00E522BD" w:rsidP="0093103E">
      <w:pPr>
        <w:pStyle w:val="BodyText"/>
        <w:ind w:left="0"/>
        <w:rPr>
          <w:rFonts w:asciiTheme="minorHAnsi" w:hAnsiTheme="minorHAnsi" w:cstheme="minorHAnsi"/>
          <w:i w:val="0"/>
        </w:rPr>
      </w:pPr>
    </w:p>
    <w:p w14:paraId="7F6A53D4" w14:textId="77777777" w:rsidR="00566CC7" w:rsidRDefault="00566CC7" w:rsidP="00566CC7">
      <w:pPr>
        <w:pStyle w:val="BodyText"/>
        <w:ind w:left="0"/>
        <w:rPr>
          <w:rFonts w:asciiTheme="minorHAnsi" w:hAnsiTheme="minorHAnsi" w:cstheme="minorHAnsi"/>
          <w:i w:val="0"/>
        </w:rPr>
      </w:pPr>
      <w:r w:rsidRPr="00566CC7">
        <w:rPr>
          <w:rFonts w:asciiTheme="minorHAnsi" w:hAnsiTheme="minorHAnsi" w:cstheme="minorHAnsi"/>
          <w:i w:val="0"/>
        </w:rPr>
        <w:t xml:space="preserve">One of the previous risk factors must be present in conjunction with appropriate antibiotic coverage. This means at least one of the following antibiotics must be taken for a minimum of five days (unless cultures allow for </w:t>
      </w:r>
      <w:proofErr w:type="spellStart"/>
      <w:r w:rsidRPr="00566CC7">
        <w:rPr>
          <w:rFonts w:asciiTheme="minorHAnsi" w:hAnsiTheme="minorHAnsi" w:cstheme="minorHAnsi"/>
          <w:i w:val="0"/>
        </w:rPr>
        <w:t>deescalation</w:t>
      </w:r>
      <w:proofErr w:type="spellEnd"/>
      <w:r w:rsidRPr="00566CC7">
        <w:rPr>
          <w:rFonts w:asciiTheme="minorHAnsi" w:hAnsiTheme="minorHAnsi" w:cstheme="minorHAnsi"/>
          <w:i w:val="0"/>
        </w:rPr>
        <w:t xml:space="preserve"> of treatment):</w:t>
      </w:r>
    </w:p>
    <w:p w14:paraId="0447B4AD" w14:textId="5BDE6F8D" w:rsidR="00E522BD" w:rsidRPr="00BA38EB" w:rsidRDefault="0093103E" w:rsidP="00566CC7">
      <w:pPr>
        <w:pStyle w:val="BodyText"/>
        <w:numPr>
          <w:ilvl w:val="0"/>
          <w:numId w:val="22"/>
        </w:numPr>
        <w:rPr>
          <w:rFonts w:asciiTheme="minorHAnsi" w:hAnsiTheme="minorHAnsi" w:cstheme="minorHAnsi"/>
          <w:i w:val="0"/>
        </w:rPr>
      </w:pPr>
      <w:r w:rsidRPr="00BA38EB">
        <w:rPr>
          <w:rFonts w:asciiTheme="minorHAnsi" w:hAnsiTheme="minorHAnsi" w:cstheme="minorHAnsi"/>
          <w:i w:val="0"/>
        </w:rPr>
        <w:t>Vancomycin</w:t>
      </w:r>
    </w:p>
    <w:p w14:paraId="4DEAF197" w14:textId="27055004" w:rsidR="00E522BD" w:rsidRPr="00BA38EB" w:rsidRDefault="0093103E" w:rsidP="0093103E">
      <w:pPr>
        <w:pStyle w:val="BodyText"/>
        <w:numPr>
          <w:ilvl w:val="0"/>
          <w:numId w:val="19"/>
        </w:numPr>
        <w:rPr>
          <w:rFonts w:asciiTheme="minorHAnsi" w:hAnsiTheme="minorHAnsi" w:cstheme="minorHAnsi"/>
          <w:i w:val="0"/>
        </w:rPr>
      </w:pPr>
      <w:r w:rsidRPr="00BA38EB">
        <w:rPr>
          <w:rFonts w:asciiTheme="minorHAnsi" w:hAnsiTheme="minorHAnsi" w:cstheme="minorHAnsi"/>
          <w:i w:val="0"/>
        </w:rPr>
        <w:t>Linezolid (</w:t>
      </w:r>
      <w:proofErr w:type="spellStart"/>
      <w:r w:rsidRPr="00BA38EB">
        <w:rPr>
          <w:rFonts w:asciiTheme="minorHAnsi" w:hAnsiTheme="minorHAnsi" w:cstheme="minorHAnsi"/>
          <w:i w:val="0"/>
        </w:rPr>
        <w:t>zyvox</w:t>
      </w:r>
      <w:proofErr w:type="spellEnd"/>
      <w:r w:rsidRPr="00BA38EB">
        <w:rPr>
          <w:rFonts w:asciiTheme="minorHAnsi" w:hAnsiTheme="minorHAnsi" w:cstheme="minorHAnsi"/>
          <w:i w:val="0"/>
        </w:rPr>
        <w:t>)</w:t>
      </w:r>
    </w:p>
    <w:p w14:paraId="49431628" w14:textId="2CCA2B9C" w:rsidR="00E522BD" w:rsidRPr="00BA38EB" w:rsidRDefault="0093103E" w:rsidP="0093103E">
      <w:pPr>
        <w:pStyle w:val="BodyText"/>
        <w:numPr>
          <w:ilvl w:val="0"/>
          <w:numId w:val="19"/>
        </w:numPr>
        <w:rPr>
          <w:rFonts w:asciiTheme="minorHAnsi" w:hAnsiTheme="minorHAnsi" w:cstheme="minorHAnsi"/>
          <w:i w:val="0"/>
        </w:rPr>
      </w:pPr>
      <w:r w:rsidRPr="00BA38EB">
        <w:rPr>
          <w:rFonts w:asciiTheme="minorHAnsi" w:hAnsiTheme="minorHAnsi" w:cstheme="minorHAnsi"/>
          <w:i w:val="0"/>
        </w:rPr>
        <w:t>Telavancin (</w:t>
      </w:r>
      <w:proofErr w:type="spellStart"/>
      <w:r w:rsidRPr="00BA38EB">
        <w:rPr>
          <w:rFonts w:asciiTheme="minorHAnsi" w:hAnsiTheme="minorHAnsi" w:cstheme="minorHAnsi"/>
          <w:i w:val="0"/>
        </w:rPr>
        <w:t>vibativ</w:t>
      </w:r>
      <w:proofErr w:type="spellEnd"/>
      <w:r w:rsidRPr="00BA38EB">
        <w:rPr>
          <w:rFonts w:asciiTheme="minorHAnsi" w:hAnsiTheme="minorHAnsi" w:cstheme="minorHAnsi"/>
          <w:i w:val="0"/>
        </w:rPr>
        <w:t>)</w:t>
      </w:r>
    </w:p>
    <w:p w14:paraId="2DB5D061" w14:textId="77777777" w:rsidR="00E522BD" w:rsidRPr="00BA38EB" w:rsidRDefault="00E522BD" w:rsidP="00E522BD">
      <w:pPr>
        <w:pStyle w:val="BodyText"/>
        <w:ind w:left="400"/>
        <w:rPr>
          <w:rFonts w:asciiTheme="minorHAnsi" w:hAnsiTheme="minorHAnsi" w:cstheme="minorHAnsi"/>
          <w:i w:val="0"/>
        </w:rPr>
      </w:pPr>
    </w:p>
    <w:p w14:paraId="3307D688" w14:textId="77777777" w:rsidR="00E522BD" w:rsidRPr="00BA38EB" w:rsidRDefault="00E522BD" w:rsidP="00E522BD">
      <w:pPr>
        <w:pStyle w:val="BodyText"/>
        <w:ind w:left="1620"/>
        <w:rPr>
          <w:rFonts w:asciiTheme="minorHAnsi" w:hAnsiTheme="minorHAnsi" w:cstheme="minorHAnsi"/>
          <w:i w:val="0"/>
        </w:rPr>
      </w:pPr>
    </w:p>
    <w:p w14:paraId="4EBDE936" w14:textId="77777777" w:rsidR="00E522BD" w:rsidRPr="00BA38EB" w:rsidRDefault="00E522BD" w:rsidP="00E522BD">
      <w:pPr>
        <w:pStyle w:val="BodyText"/>
        <w:ind w:left="180"/>
        <w:rPr>
          <w:rFonts w:asciiTheme="minorHAnsi" w:hAnsiTheme="minorHAnsi" w:cstheme="minorHAnsi"/>
          <w:i w:val="0"/>
        </w:rPr>
      </w:pPr>
      <w:r w:rsidRPr="0093103E">
        <w:rPr>
          <w:rFonts w:asciiTheme="minorHAnsi" w:hAnsiTheme="minorHAnsi" w:cstheme="minorHAnsi"/>
          <w:b/>
          <w:bCs/>
          <w:i w:val="0"/>
        </w:rPr>
        <w:t>References</w:t>
      </w:r>
      <w:r w:rsidRPr="00BA38EB">
        <w:rPr>
          <w:rFonts w:asciiTheme="minorHAnsi" w:hAnsiTheme="minorHAnsi" w:cstheme="minorHAnsi"/>
          <w:i w:val="0"/>
        </w:rPr>
        <w:t xml:space="preserve">: </w:t>
      </w:r>
    </w:p>
    <w:p w14:paraId="66A8933B" w14:textId="46A5E970" w:rsidR="00E522BD" w:rsidRPr="00BA38EB" w:rsidRDefault="00E522BD" w:rsidP="00531FA8">
      <w:pPr>
        <w:pStyle w:val="ListParagraph"/>
        <w:widowControl/>
        <w:autoSpaceDE/>
        <w:autoSpaceDN/>
        <w:spacing w:before="0" w:line="259" w:lineRule="auto"/>
        <w:ind w:left="1080" w:firstLine="0"/>
        <w:contextualSpacing/>
        <w:rPr>
          <w:rFonts w:asciiTheme="minorHAnsi" w:hAnsiTheme="minorHAnsi" w:cstheme="minorHAnsi"/>
        </w:rPr>
      </w:pPr>
    </w:p>
    <w:p w14:paraId="6C253DBC" w14:textId="4439A5F7" w:rsidR="00E522BD" w:rsidRPr="00566CC7" w:rsidRDefault="00F102A7" w:rsidP="00566CC7">
      <w:pPr>
        <w:pStyle w:val="ListParagraph"/>
        <w:widowControl/>
        <w:numPr>
          <w:ilvl w:val="0"/>
          <w:numId w:val="23"/>
        </w:numPr>
        <w:autoSpaceDE/>
        <w:autoSpaceDN/>
        <w:spacing w:line="259" w:lineRule="auto"/>
        <w:rPr>
          <w:rFonts w:asciiTheme="minorHAnsi" w:hAnsiTheme="minorHAnsi" w:cstheme="minorHAnsi"/>
        </w:rPr>
      </w:pPr>
      <w:hyperlink r:id="rId9" w:history="1">
        <w:r w:rsidR="00E522BD" w:rsidRPr="00566CC7">
          <w:rPr>
            <w:rStyle w:val="Hyperlink"/>
            <w:rFonts w:asciiTheme="minorHAnsi" w:hAnsiTheme="minorHAnsi" w:cstheme="minorHAnsi"/>
          </w:rPr>
          <w:t>Diagnosis and Treatment of Adults with Community Acquired Pneumonia: An Official Clinical Practice Guideline of the American Thoracic Society and Infectious Diseases Society of America</w:t>
        </w:r>
        <w:r w:rsidR="00566CC7" w:rsidRPr="00566CC7">
          <w:rPr>
            <w:rStyle w:val="Hyperlink"/>
            <w:rFonts w:asciiTheme="minorHAnsi" w:hAnsiTheme="minorHAnsi" w:cstheme="minorHAnsi"/>
          </w:rPr>
          <w:t>.</w:t>
        </w:r>
      </w:hyperlink>
    </w:p>
    <w:p w14:paraId="64BD0CEF" w14:textId="48FE9270" w:rsidR="0093103E" w:rsidRPr="00566CC7" w:rsidRDefault="00566CC7" w:rsidP="00566CC7">
      <w:pPr>
        <w:pStyle w:val="ListParagraph"/>
        <w:widowControl/>
        <w:numPr>
          <w:ilvl w:val="0"/>
          <w:numId w:val="23"/>
        </w:numPr>
        <w:autoSpaceDE/>
        <w:autoSpaceDN/>
        <w:spacing w:line="259" w:lineRule="auto"/>
        <w:contextualSpacing/>
        <w:rPr>
          <w:rFonts w:asciiTheme="minorHAnsi" w:hAnsiTheme="minorHAnsi" w:cstheme="minorHAnsi"/>
        </w:rPr>
      </w:pPr>
      <w:r w:rsidRPr="00566CC7">
        <w:rPr>
          <w:rFonts w:asciiTheme="minorHAnsi" w:hAnsiTheme="minorHAnsi" w:cstheme="minorHAnsi"/>
          <w:i/>
          <w:iCs/>
        </w:rPr>
        <w:t>Harrison’s Principles of Internal Medicine, 20th Edition</w:t>
      </w:r>
      <w:r w:rsidRPr="00566CC7">
        <w:rPr>
          <w:rFonts w:asciiTheme="minorHAnsi" w:hAnsiTheme="minorHAnsi" w:cstheme="minorHAnsi"/>
        </w:rPr>
        <w:t xml:space="preserve"> by J. Larry Jameson, Anthony S. </w:t>
      </w:r>
      <w:proofErr w:type="spellStart"/>
      <w:r w:rsidRPr="00566CC7">
        <w:rPr>
          <w:rFonts w:asciiTheme="minorHAnsi" w:hAnsiTheme="minorHAnsi" w:cstheme="minorHAnsi"/>
        </w:rPr>
        <w:t>Fauci</w:t>
      </w:r>
      <w:proofErr w:type="spellEnd"/>
      <w:r w:rsidRPr="00566CC7">
        <w:rPr>
          <w:rFonts w:asciiTheme="minorHAnsi" w:hAnsiTheme="minorHAnsi" w:cstheme="minorHAnsi"/>
        </w:rPr>
        <w:t xml:space="preserve">, Dennis L. Kasper, Stephen L. Hauser, Dan L. Longo, Joseph </w:t>
      </w:r>
      <w:proofErr w:type="spellStart"/>
      <w:r w:rsidRPr="00566CC7">
        <w:rPr>
          <w:rFonts w:asciiTheme="minorHAnsi" w:hAnsiTheme="minorHAnsi" w:cstheme="minorHAnsi"/>
        </w:rPr>
        <w:t>Loscalzo</w:t>
      </w:r>
      <w:proofErr w:type="spellEnd"/>
    </w:p>
    <w:p w14:paraId="6944BD62" w14:textId="77777777" w:rsidR="00566CC7" w:rsidRPr="00566CC7" w:rsidRDefault="00566CC7" w:rsidP="00566CC7">
      <w:pPr>
        <w:widowControl/>
        <w:autoSpaceDE/>
        <w:autoSpaceDN/>
        <w:spacing w:line="259" w:lineRule="auto"/>
        <w:contextualSpacing/>
        <w:rPr>
          <w:rFonts w:asciiTheme="minorHAnsi" w:hAnsiTheme="minorHAnsi" w:cstheme="minorHAnsi"/>
        </w:rPr>
      </w:pPr>
    </w:p>
    <w:p w14:paraId="0043EEA2" w14:textId="67CC2EAA" w:rsidR="00BA38EB" w:rsidRPr="00BA38EB" w:rsidRDefault="00BA38EB" w:rsidP="00BA38EB">
      <w:pPr>
        <w:widowControl/>
        <w:autoSpaceDE/>
        <w:autoSpaceDN/>
        <w:spacing w:line="259" w:lineRule="auto"/>
        <w:rPr>
          <w:rFonts w:asciiTheme="minorHAnsi" w:hAnsiTheme="minorHAnsi" w:cstheme="minorHAnsi"/>
        </w:rPr>
      </w:pPr>
      <w:r w:rsidRPr="00BA38EB">
        <w:rPr>
          <w:rFonts w:asciiTheme="minorHAnsi" w:hAnsiTheme="minorHAnsi" w:cstheme="minorHAnsi"/>
          <w:b/>
          <w:bCs/>
          <w:i/>
          <w:iCs/>
        </w:rPr>
        <w:t>Editor’s note:</w:t>
      </w:r>
      <w:r w:rsidRPr="00BA38EB">
        <w:rPr>
          <w:rFonts w:asciiTheme="minorHAnsi" w:hAnsiTheme="minorHAnsi" w:cstheme="minorHAnsi"/>
          <w:i/>
          <w:iCs/>
        </w:rPr>
        <w:t> Dr. Haik is the director of DRG Review Inc., in Fort Walton Beach, Florida. Contact him at </w:t>
      </w:r>
      <w:hyperlink r:id="rId10" w:history="1">
        <w:r w:rsidRPr="00BA38EB">
          <w:rPr>
            <w:rStyle w:val="Hyperlink"/>
            <w:rFonts w:asciiTheme="minorHAnsi" w:hAnsiTheme="minorHAnsi" w:cstheme="minorHAnsi"/>
          </w:rPr>
          <w:t>william.haik@drgreviewinc.com</w:t>
        </w:r>
      </w:hyperlink>
      <w:r w:rsidRPr="00BA38EB">
        <w:rPr>
          <w:rFonts w:asciiTheme="minorHAnsi" w:hAnsiTheme="minorHAnsi" w:cstheme="minorHAnsi"/>
          <w:i/>
          <w:iCs/>
        </w:rPr>
        <w:t>. Opinions expressed are that of the author and do not necessarily represent HCPro, ACDIS, or any of its subsidiaries.</w:t>
      </w:r>
    </w:p>
    <w:p w14:paraId="28A1CA2B" w14:textId="77777777" w:rsidR="00E522BD" w:rsidRPr="00BA38EB" w:rsidRDefault="00E522BD" w:rsidP="00E522BD">
      <w:pPr>
        <w:widowControl/>
        <w:autoSpaceDE/>
        <w:autoSpaceDN/>
        <w:spacing w:line="259" w:lineRule="auto"/>
        <w:ind w:left="1440"/>
        <w:rPr>
          <w:rFonts w:asciiTheme="minorHAnsi" w:hAnsiTheme="minorHAnsi" w:cstheme="minorHAnsi"/>
        </w:rPr>
      </w:pPr>
    </w:p>
    <w:p w14:paraId="76963B4E" w14:textId="77777777" w:rsidR="00FC5E60" w:rsidRPr="00BA38EB" w:rsidRDefault="00FC5E60">
      <w:pPr>
        <w:rPr>
          <w:rFonts w:asciiTheme="minorHAnsi" w:hAnsiTheme="minorHAnsi" w:cstheme="minorHAnsi"/>
        </w:rPr>
      </w:pPr>
    </w:p>
    <w:sectPr w:rsidR="00FC5E60" w:rsidRPr="00BA38EB" w:rsidSect="00E522BD">
      <w:pgSz w:w="12240" w:h="15840"/>
      <w:pgMar w:top="7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54D"/>
    <w:multiLevelType w:val="hybridMultilevel"/>
    <w:tmpl w:val="00B8D6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4646"/>
    <w:multiLevelType w:val="hybridMultilevel"/>
    <w:tmpl w:val="764A60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3B6ACB"/>
    <w:multiLevelType w:val="hybridMultilevel"/>
    <w:tmpl w:val="8798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D0A3D"/>
    <w:multiLevelType w:val="hybridMultilevel"/>
    <w:tmpl w:val="DDBC0F36"/>
    <w:lvl w:ilvl="0" w:tplc="5CB26E34">
      <w:start w:val="1"/>
      <w:numFmt w:val="decimal"/>
      <w:lvlText w:val="%1."/>
      <w:lvlJc w:val="left"/>
      <w:pPr>
        <w:ind w:left="680" w:hanging="360"/>
      </w:pPr>
      <w:rPr>
        <w:rFonts w:ascii="Calibri" w:eastAsia="Calibri" w:hAnsi="Calibri" w:cs="Calibri"/>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180"/>
      </w:pPr>
      <w:rPr>
        <w:rFonts w:ascii="Wingdings" w:hAnsi="Wingding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7E6748"/>
    <w:multiLevelType w:val="hybridMultilevel"/>
    <w:tmpl w:val="27BA6086"/>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180"/>
      </w:pPr>
      <w:rPr>
        <w:rFonts w:ascii="Wingdings" w:hAnsi="Wingding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D1E150B"/>
    <w:multiLevelType w:val="hybridMultilevel"/>
    <w:tmpl w:val="EAC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3498"/>
    <w:multiLevelType w:val="hybridMultilevel"/>
    <w:tmpl w:val="ED8CB86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FA04786"/>
    <w:multiLevelType w:val="hybridMultilevel"/>
    <w:tmpl w:val="5346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5FF2"/>
    <w:multiLevelType w:val="hybridMultilevel"/>
    <w:tmpl w:val="A092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1956"/>
    <w:multiLevelType w:val="hybridMultilevel"/>
    <w:tmpl w:val="4B602F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5775"/>
    <w:multiLevelType w:val="hybridMultilevel"/>
    <w:tmpl w:val="DFC8818A"/>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D7914BB"/>
    <w:multiLevelType w:val="hybridMultilevel"/>
    <w:tmpl w:val="16507F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64492F"/>
    <w:multiLevelType w:val="hybridMultilevel"/>
    <w:tmpl w:val="ABCA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96285"/>
    <w:multiLevelType w:val="hybridMultilevel"/>
    <w:tmpl w:val="8DF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E6407"/>
    <w:multiLevelType w:val="hybridMultilevel"/>
    <w:tmpl w:val="630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7BC"/>
    <w:multiLevelType w:val="hybridMultilevel"/>
    <w:tmpl w:val="F7ECD5CC"/>
    <w:lvl w:ilvl="0" w:tplc="5CB26E34">
      <w:start w:val="1"/>
      <w:numFmt w:val="decimal"/>
      <w:lvlText w:val="%1."/>
      <w:lvlJc w:val="left"/>
      <w:pPr>
        <w:ind w:left="680" w:hanging="360"/>
      </w:pPr>
      <w:rPr>
        <w:rFonts w:ascii="Calibri" w:eastAsia="Calibri" w:hAnsi="Calibri" w:cs="Calibri"/>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51F413E"/>
    <w:multiLevelType w:val="hybridMultilevel"/>
    <w:tmpl w:val="398C04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D2728E"/>
    <w:multiLevelType w:val="hybridMultilevel"/>
    <w:tmpl w:val="E878CB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93D39A1"/>
    <w:multiLevelType w:val="hybridMultilevel"/>
    <w:tmpl w:val="DCBE055E"/>
    <w:lvl w:ilvl="0" w:tplc="5CB26E34">
      <w:start w:val="1"/>
      <w:numFmt w:val="decimal"/>
      <w:lvlText w:val="%1."/>
      <w:lvlJc w:val="left"/>
      <w:pPr>
        <w:ind w:left="680" w:hanging="360"/>
      </w:pPr>
      <w:rPr>
        <w:rFonts w:ascii="Calibri" w:eastAsia="Calibri" w:hAnsi="Calibri" w:cs="Calibri"/>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180"/>
      </w:pPr>
      <w:rPr>
        <w:rFonts w:ascii="Courier New" w:hAnsi="Courier New" w:cs="Courier New" w:hint="default"/>
      </w:rPr>
    </w:lvl>
    <w:lvl w:ilvl="3" w:tplc="04090005">
      <w:start w:val="1"/>
      <w:numFmt w:val="bullet"/>
      <w:lvlText w:val=""/>
      <w:lvlJc w:val="left"/>
      <w:pPr>
        <w:ind w:left="3060" w:hanging="360"/>
      </w:pPr>
      <w:rPr>
        <w:rFonts w:ascii="Wingdings" w:hAnsi="Wingding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99E1C28"/>
    <w:multiLevelType w:val="hybridMultilevel"/>
    <w:tmpl w:val="72A6C73C"/>
    <w:lvl w:ilvl="0" w:tplc="5CB26E34">
      <w:start w:val="1"/>
      <w:numFmt w:val="decimal"/>
      <w:lvlText w:val="%1."/>
      <w:lvlJc w:val="left"/>
      <w:pPr>
        <w:ind w:left="680" w:hanging="360"/>
      </w:pPr>
      <w:rPr>
        <w:rFonts w:ascii="Calibri" w:eastAsia="Calibr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E2F60CA"/>
    <w:multiLevelType w:val="hybridMultilevel"/>
    <w:tmpl w:val="C7BA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6BF0"/>
    <w:multiLevelType w:val="hybridMultilevel"/>
    <w:tmpl w:val="010432C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3B4C71"/>
    <w:multiLevelType w:val="hybridMultilevel"/>
    <w:tmpl w:val="8E9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9"/>
  </w:num>
  <w:num w:numId="5">
    <w:abstractNumId w:val="9"/>
  </w:num>
  <w:num w:numId="6">
    <w:abstractNumId w:val="10"/>
  </w:num>
  <w:num w:numId="7">
    <w:abstractNumId w:val="1"/>
  </w:num>
  <w:num w:numId="8">
    <w:abstractNumId w:val="0"/>
  </w:num>
  <w:num w:numId="9">
    <w:abstractNumId w:val="16"/>
  </w:num>
  <w:num w:numId="10">
    <w:abstractNumId w:val="21"/>
  </w:num>
  <w:num w:numId="11">
    <w:abstractNumId w:val="11"/>
  </w:num>
  <w:num w:numId="12">
    <w:abstractNumId w:val="4"/>
  </w:num>
  <w:num w:numId="13">
    <w:abstractNumId w:val="6"/>
  </w:num>
  <w:num w:numId="14">
    <w:abstractNumId w:val="20"/>
  </w:num>
  <w:num w:numId="15">
    <w:abstractNumId w:val="12"/>
  </w:num>
  <w:num w:numId="16">
    <w:abstractNumId w:val="7"/>
  </w:num>
  <w:num w:numId="17">
    <w:abstractNumId w:val="8"/>
  </w:num>
  <w:num w:numId="18">
    <w:abstractNumId w:val="17"/>
  </w:num>
  <w:num w:numId="19">
    <w:abstractNumId w:val="13"/>
  </w:num>
  <w:num w:numId="20">
    <w:abstractNumId w:val="2"/>
  </w:num>
  <w:num w:numId="21">
    <w:abstractNumId w:val="1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BD"/>
    <w:rsid w:val="00307828"/>
    <w:rsid w:val="00361939"/>
    <w:rsid w:val="004626E4"/>
    <w:rsid w:val="00530DB1"/>
    <w:rsid w:val="00531FA8"/>
    <w:rsid w:val="00566CC7"/>
    <w:rsid w:val="006D6F72"/>
    <w:rsid w:val="007D5DF6"/>
    <w:rsid w:val="0093103E"/>
    <w:rsid w:val="00BA38EB"/>
    <w:rsid w:val="00C751A3"/>
    <w:rsid w:val="00E439CF"/>
    <w:rsid w:val="00E522BD"/>
    <w:rsid w:val="00F102A7"/>
    <w:rsid w:val="00FC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B992"/>
  <w15:chartTrackingRefBased/>
  <w15:docId w15:val="{43603945-80BE-4051-B029-7079CB1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BD"/>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22BD"/>
    <w:pPr>
      <w:ind w:left="591"/>
    </w:pPr>
    <w:rPr>
      <w:i/>
    </w:rPr>
  </w:style>
  <w:style w:type="character" w:customStyle="1" w:styleId="BodyTextChar">
    <w:name w:val="Body Text Char"/>
    <w:basedOn w:val="DefaultParagraphFont"/>
    <w:link w:val="BodyText"/>
    <w:uiPriority w:val="1"/>
    <w:rsid w:val="00E522BD"/>
    <w:rPr>
      <w:rFonts w:ascii="Calibri" w:eastAsia="Calibri" w:hAnsi="Calibri" w:cs="Calibri"/>
      <w:i/>
      <w:lang w:bidi="en-US"/>
    </w:rPr>
  </w:style>
  <w:style w:type="paragraph" w:styleId="ListParagraph">
    <w:name w:val="List Paragraph"/>
    <w:basedOn w:val="Normal"/>
    <w:uiPriority w:val="34"/>
    <w:qFormat/>
    <w:rsid w:val="00E522BD"/>
    <w:pPr>
      <w:spacing w:before="19"/>
      <w:ind w:left="591" w:firstLine="360"/>
    </w:pPr>
  </w:style>
  <w:style w:type="paragraph" w:styleId="NoSpacing">
    <w:name w:val="No Spacing"/>
    <w:uiPriority w:val="1"/>
    <w:qFormat/>
    <w:rsid w:val="00E522BD"/>
    <w:pPr>
      <w:spacing w:after="0" w:line="240" w:lineRule="auto"/>
    </w:pPr>
  </w:style>
  <w:style w:type="paragraph" w:styleId="BalloonText">
    <w:name w:val="Balloon Text"/>
    <w:basedOn w:val="Normal"/>
    <w:link w:val="BalloonTextChar"/>
    <w:uiPriority w:val="99"/>
    <w:semiHidden/>
    <w:unhideWhenUsed/>
    <w:rsid w:val="00E52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BD"/>
    <w:rPr>
      <w:rFonts w:ascii="Segoe UI" w:eastAsia="Calibri" w:hAnsi="Segoe UI" w:cs="Segoe UI"/>
      <w:sz w:val="18"/>
      <w:szCs w:val="18"/>
      <w:lang w:bidi="en-US"/>
    </w:rPr>
  </w:style>
  <w:style w:type="character" w:styleId="Hyperlink">
    <w:name w:val="Hyperlink"/>
    <w:basedOn w:val="DefaultParagraphFont"/>
    <w:uiPriority w:val="99"/>
    <w:unhideWhenUsed/>
    <w:rsid w:val="00BA38EB"/>
    <w:rPr>
      <w:color w:val="0563C1" w:themeColor="hyperlink"/>
      <w:u w:val="single"/>
    </w:rPr>
  </w:style>
  <w:style w:type="character" w:styleId="UnresolvedMention">
    <w:name w:val="Unresolved Mention"/>
    <w:basedOn w:val="DefaultParagraphFont"/>
    <w:uiPriority w:val="99"/>
    <w:semiHidden/>
    <w:unhideWhenUsed/>
    <w:rsid w:val="00BA3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journals.org/doi/full/10.1164/rccm.201908-1581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illiam.haik@drgreviewinc.com" TargetMode="External"/><Relationship Id="rId4" Type="http://schemas.openxmlformats.org/officeDocument/2006/relationships/numbering" Target="numbering.xml"/><Relationship Id="rId9" Type="http://schemas.openxmlformats.org/officeDocument/2006/relationships/hyperlink" Target="https://www.atsjournals.org/doi/full/10.1164/rccm.201908-1581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8740990FED94ABCFFC3A5353B2F6F" ma:contentTypeVersion="13" ma:contentTypeDescription="Create a new document." ma:contentTypeScope="" ma:versionID="5776bc6f2702ded2881f50ddf2f4e361">
  <xsd:schema xmlns:xsd="http://www.w3.org/2001/XMLSchema" xmlns:xs="http://www.w3.org/2001/XMLSchema" xmlns:p="http://schemas.microsoft.com/office/2006/metadata/properties" xmlns:ns3="c5d2f831-7c49-49dd-a303-1f17a60cad7f" xmlns:ns4="990978cc-31d2-41eb-b67e-eaaba767c801" targetNamespace="http://schemas.microsoft.com/office/2006/metadata/properties" ma:root="true" ma:fieldsID="32bdb8e9a1db98eec94ea37932a8b16e" ns3:_="" ns4:_="">
    <xsd:import namespace="c5d2f831-7c49-49dd-a303-1f17a60cad7f"/>
    <xsd:import namespace="990978cc-31d2-41eb-b67e-eaaba767c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2f831-7c49-49dd-a303-1f17a60ca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978cc-31d2-41eb-b67e-eaaba767c8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BC96E-5F98-4D26-9153-6C7D4C45B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BC883-58E4-4ADF-A30A-8F440621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2f831-7c49-49dd-a303-1f17a60cad7f"/>
    <ds:schemaRef ds:uri="990978cc-31d2-41eb-b67e-eaaba767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2FC80-6774-424B-9BFC-8946ED3CD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Haik</dc:creator>
  <cp:keywords/>
  <dc:description/>
  <cp:lastModifiedBy>William Haik</cp:lastModifiedBy>
  <cp:revision>5</cp:revision>
  <cp:lastPrinted>2020-02-05T21:51:00Z</cp:lastPrinted>
  <dcterms:created xsi:type="dcterms:W3CDTF">2020-01-13T19:11:00Z</dcterms:created>
  <dcterms:modified xsi:type="dcterms:W3CDTF">2020-02-05T22:21:00Z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0x0101008378740990FED94ABCFFC3A5353B2F6F</vt:lpwstr>
  </property>
</Properties>
</file>