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E2FBC" w14:textId="7CA923B5" w:rsidR="00BA5168" w:rsidRPr="00D02F37" w:rsidRDefault="00C05121" w:rsidP="00BA5168">
      <w:pPr>
        <w:spacing w:before="12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Executive Summary: Implementing </w:t>
      </w:r>
      <w:r w:rsidR="00CC444E">
        <w:rPr>
          <w:rFonts w:ascii="Arial" w:hAnsi="Arial" w:cs="Arial"/>
          <w:b/>
          <w:sz w:val="28"/>
          <w:szCs w:val="28"/>
        </w:rPr>
        <w:t xml:space="preserve">New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CDI Prioritization Software (Name of Solution)</w:t>
      </w:r>
    </w:p>
    <w:tbl>
      <w:tblPr>
        <w:tblStyle w:val="TableWeb2"/>
        <w:tblW w:w="8640" w:type="dxa"/>
        <w:tblInd w:w="163" w:type="dxa"/>
        <w:tblLook w:val="01E0" w:firstRow="1" w:lastRow="1" w:firstColumn="1" w:lastColumn="1" w:noHBand="0" w:noVBand="0"/>
      </w:tblPr>
      <w:tblGrid>
        <w:gridCol w:w="8640"/>
      </w:tblGrid>
      <w:tr w:rsidR="00BA5168" w:rsidRPr="009B450D" w14:paraId="77E7BC9B" w14:textId="77777777" w:rsidTr="00D74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49F924" w14:textId="77777777" w:rsidR="00BA5168" w:rsidRPr="001747DF" w:rsidRDefault="00D02F37" w:rsidP="00D74AB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Technology</w:t>
            </w:r>
            <w:r w:rsidR="00BA5168" w:rsidRPr="001747DF">
              <w:rPr>
                <w:rFonts w:ascii="Arial" w:hAnsi="Arial" w:cs="Arial"/>
                <w:b/>
              </w:rPr>
              <w:t xml:space="preserve"> Overview</w:t>
            </w:r>
          </w:p>
        </w:tc>
      </w:tr>
      <w:tr w:rsidR="00BA5168" w:rsidRPr="009B450D" w14:paraId="55D52AA6" w14:textId="77777777" w:rsidTr="00D74AB2">
        <w:trPr>
          <w:trHeight w:val="597"/>
        </w:trPr>
        <w:tc>
          <w:tcPr>
            <w:tcW w:w="856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3B811F" w14:textId="6632A5E3" w:rsidR="00BA5168" w:rsidRPr="001747DF" w:rsidRDefault="00C05121" w:rsidP="00A70767">
            <w:pPr>
              <w:pStyle w:val="TableText"/>
              <w:numPr>
                <w:ilvl w:val="0"/>
                <w:numId w:val="2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t>[Solution]</w:t>
            </w:r>
            <w:r w:rsidR="004C4837">
              <w:rPr>
                <w:rFonts w:cs="Arial"/>
                <w:spacing w:val="0"/>
                <w:sz w:val="20"/>
                <w:szCs w:val="22"/>
              </w:rPr>
              <w:t xml:space="preserve"> support</w:t>
            </w:r>
            <w:r w:rsidR="00D02F37">
              <w:rPr>
                <w:rFonts w:cs="Arial"/>
                <w:spacing w:val="0"/>
                <w:sz w:val="20"/>
                <w:szCs w:val="22"/>
              </w:rPr>
              <w:t>s</w:t>
            </w:r>
            <w:r w:rsidR="004C4837">
              <w:rPr>
                <w:rFonts w:cs="Arial"/>
                <w:spacing w:val="0"/>
                <w:sz w:val="20"/>
                <w:szCs w:val="22"/>
              </w:rPr>
              <w:t xml:space="preserve"> Clinical Documentation Improvement </w:t>
            </w:r>
            <w:r w:rsidR="00D02F37">
              <w:rPr>
                <w:rFonts w:cs="Arial"/>
                <w:spacing w:val="0"/>
                <w:sz w:val="20"/>
                <w:szCs w:val="22"/>
              </w:rPr>
              <w:t>staff</w:t>
            </w:r>
            <w:r w:rsidR="004C4837">
              <w:rPr>
                <w:rFonts w:cs="Arial"/>
                <w:spacing w:val="0"/>
                <w:sz w:val="20"/>
                <w:szCs w:val="22"/>
              </w:rPr>
              <w:t xml:space="preserve"> </w:t>
            </w:r>
            <w:r w:rsidR="00040BB0">
              <w:rPr>
                <w:rFonts w:cs="Arial"/>
                <w:spacing w:val="0"/>
                <w:sz w:val="20"/>
                <w:szCs w:val="22"/>
              </w:rPr>
              <w:t xml:space="preserve">by </w:t>
            </w:r>
            <w:r w:rsidR="004C4837">
              <w:rPr>
                <w:rFonts w:cs="Arial"/>
                <w:spacing w:val="0"/>
                <w:sz w:val="20"/>
                <w:szCs w:val="22"/>
              </w:rPr>
              <w:t>increas</w:t>
            </w:r>
            <w:r w:rsidR="00040BB0">
              <w:rPr>
                <w:rFonts w:cs="Arial"/>
                <w:spacing w:val="0"/>
                <w:sz w:val="20"/>
                <w:szCs w:val="22"/>
              </w:rPr>
              <w:t>ing</w:t>
            </w:r>
            <w:r w:rsidR="004C4837">
              <w:rPr>
                <w:rFonts w:cs="Arial"/>
                <w:spacing w:val="0"/>
                <w:sz w:val="20"/>
                <w:szCs w:val="22"/>
              </w:rPr>
              <w:t xml:space="preserve"> productivity in a meaningful way</w:t>
            </w:r>
            <w:r w:rsidR="00D02F37">
              <w:rPr>
                <w:rFonts w:cs="Arial"/>
                <w:spacing w:val="0"/>
                <w:sz w:val="20"/>
                <w:szCs w:val="22"/>
              </w:rPr>
              <w:t xml:space="preserve"> </w:t>
            </w:r>
            <w:r w:rsidR="00A70767">
              <w:rPr>
                <w:rFonts w:cs="Arial"/>
                <w:spacing w:val="0"/>
                <w:sz w:val="20"/>
                <w:szCs w:val="22"/>
              </w:rPr>
              <w:t>to</w:t>
            </w:r>
            <w:r w:rsidR="00040BB0">
              <w:rPr>
                <w:rFonts w:cs="Arial"/>
                <w:spacing w:val="0"/>
                <w:sz w:val="20"/>
                <w:szCs w:val="22"/>
              </w:rPr>
              <w:t xml:space="preserve"> positive</w:t>
            </w:r>
            <w:r w:rsidR="00D02F37">
              <w:rPr>
                <w:rFonts w:cs="Arial"/>
                <w:spacing w:val="0"/>
                <w:sz w:val="20"/>
                <w:szCs w:val="22"/>
              </w:rPr>
              <w:t>ly impact revenue and quality outcomes</w:t>
            </w:r>
            <w:r w:rsidR="004C4837">
              <w:rPr>
                <w:rFonts w:cs="Arial"/>
                <w:spacing w:val="0"/>
                <w:sz w:val="20"/>
                <w:szCs w:val="22"/>
              </w:rPr>
              <w:t>.</w:t>
            </w:r>
            <w:r w:rsidR="00BA5168">
              <w:rPr>
                <w:rFonts w:cs="Arial"/>
                <w:spacing w:val="0"/>
                <w:sz w:val="20"/>
                <w:szCs w:val="22"/>
              </w:rPr>
              <w:t xml:space="preserve"> </w:t>
            </w:r>
          </w:p>
        </w:tc>
      </w:tr>
      <w:tr w:rsidR="00BA5168" w:rsidRPr="009B450D" w14:paraId="2B360F74" w14:textId="77777777" w:rsidTr="00D74AB2">
        <w:tc>
          <w:tcPr>
            <w:tcW w:w="856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D1F878" w14:textId="77777777" w:rsidR="00BA5168" w:rsidRPr="001747DF" w:rsidRDefault="00BA5168" w:rsidP="00D74AB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 w:rsidRPr="001747DF">
              <w:rPr>
                <w:rFonts w:ascii="Arial" w:hAnsi="Arial" w:cs="Arial"/>
                <w:b/>
              </w:rPr>
              <w:t>Business Issue/Opportunity</w:t>
            </w:r>
          </w:p>
        </w:tc>
      </w:tr>
      <w:tr w:rsidR="00BA5168" w:rsidRPr="009B450D" w14:paraId="12960E00" w14:textId="77777777" w:rsidTr="00D74AB2">
        <w:trPr>
          <w:trHeight w:val="1090"/>
        </w:trPr>
        <w:tc>
          <w:tcPr>
            <w:tcW w:w="856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FB925B" w14:textId="77777777" w:rsidR="00BA5168" w:rsidRDefault="004C4837" w:rsidP="004C4837">
            <w:pPr>
              <w:pStyle w:val="TableText"/>
              <w:numPr>
                <w:ilvl w:val="0"/>
                <w:numId w:val="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t xml:space="preserve">Our CDI team has an important role in identifying gaps with and improving reporting for MS-DRG assignment, severity of illness, risk of mortality, </w:t>
            </w:r>
            <w:r w:rsidR="00D02F37">
              <w:rPr>
                <w:rFonts w:cs="Arial"/>
                <w:spacing w:val="0"/>
                <w:sz w:val="20"/>
                <w:szCs w:val="22"/>
              </w:rPr>
              <w:t>quality metrics</w:t>
            </w:r>
            <w:r>
              <w:rPr>
                <w:rFonts w:cs="Arial"/>
                <w:spacing w:val="0"/>
                <w:sz w:val="20"/>
                <w:szCs w:val="22"/>
              </w:rPr>
              <w:t xml:space="preserve">, and clinical validation.  </w:t>
            </w:r>
          </w:p>
          <w:p w14:paraId="752A9641" w14:textId="77777777" w:rsidR="004C4837" w:rsidRDefault="004C4837" w:rsidP="004C4837">
            <w:pPr>
              <w:pStyle w:val="TableText"/>
              <w:numPr>
                <w:ilvl w:val="0"/>
                <w:numId w:val="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t xml:space="preserve">Our CDI team is not currently staffed to review </w:t>
            </w:r>
            <w:r w:rsidR="00D02F37">
              <w:rPr>
                <w:rFonts w:cs="Arial"/>
                <w:spacing w:val="0"/>
                <w:sz w:val="20"/>
                <w:szCs w:val="22"/>
              </w:rPr>
              <w:t>the number of</w:t>
            </w:r>
            <w:r>
              <w:rPr>
                <w:rFonts w:cs="Arial"/>
                <w:spacing w:val="0"/>
                <w:sz w:val="20"/>
                <w:szCs w:val="22"/>
              </w:rPr>
              <w:t xml:space="preserve"> inpatient admission</w:t>
            </w:r>
            <w:r w:rsidR="00055195">
              <w:rPr>
                <w:rFonts w:cs="Arial"/>
                <w:spacing w:val="0"/>
                <w:sz w:val="20"/>
                <w:szCs w:val="22"/>
              </w:rPr>
              <w:t>s</w:t>
            </w:r>
            <w:r>
              <w:rPr>
                <w:rFonts w:cs="Arial"/>
                <w:spacing w:val="0"/>
                <w:sz w:val="20"/>
                <w:szCs w:val="22"/>
              </w:rPr>
              <w:t xml:space="preserve"> that </w:t>
            </w:r>
            <w:r w:rsidR="00040BB0">
              <w:rPr>
                <w:rFonts w:cs="Arial"/>
                <w:spacing w:val="0"/>
                <w:sz w:val="20"/>
                <w:szCs w:val="22"/>
              </w:rPr>
              <w:t>are needed</w:t>
            </w:r>
            <w:r>
              <w:rPr>
                <w:rFonts w:cs="Arial"/>
                <w:spacing w:val="0"/>
                <w:sz w:val="20"/>
                <w:szCs w:val="22"/>
              </w:rPr>
              <w:t xml:space="preserve">.  Staffing CDI is challenging </w:t>
            </w:r>
            <w:r w:rsidR="00290675">
              <w:rPr>
                <w:rFonts w:cs="Arial"/>
                <w:spacing w:val="0"/>
                <w:sz w:val="20"/>
                <w:szCs w:val="22"/>
              </w:rPr>
              <w:t>due to</w:t>
            </w:r>
            <w:r>
              <w:rPr>
                <w:rFonts w:cs="Arial"/>
                <w:spacing w:val="0"/>
                <w:sz w:val="20"/>
                <w:szCs w:val="22"/>
              </w:rPr>
              <w:t xml:space="preserve"> the training process </w:t>
            </w:r>
            <w:r w:rsidR="00290675">
              <w:rPr>
                <w:rFonts w:cs="Arial"/>
                <w:spacing w:val="0"/>
                <w:sz w:val="20"/>
                <w:szCs w:val="22"/>
              </w:rPr>
              <w:t>being</w:t>
            </w:r>
            <w:r>
              <w:rPr>
                <w:rFonts w:cs="Arial"/>
                <w:spacing w:val="0"/>
                <w:sz w:val="20"/>
                <w:szCs w:val="22"/>
              </w:rPr>
              <w:t xml:space="preserve"> intensive and can take </w:t>
            </w:r>
            <w:r w:rsidR="00040BB0">
              <w:rPr>
                <w:rFonts w:cs="Arial"/>
                <w:spacing w:val="0"/>
                <w:sz w:val="20"/>
                <w:szCs w:val="22"/>
              </w:rPr>
              <w:t>six</w:t>
            </w:r>
            <w:r>
              <w:rPr>
                <w:rFonts w:cs="Arial"/>
                <w:spacing w:val="0"/>
                <w:sz w:val="20"/>
                <w:szCs w:val="22"/>
              </w:rPr>
              <w:t xml:space="preserve"> months to a year for proficiency.</w:t>
            </w:r>
          </w:p>
          <w:p w14:paraId="7DD33CB6" w14:textId="77777777" w:rsidR="004C4837" w:rsidRDefault="004C4837" w:rsidP="004C4837">
            <w:pPr>
              <w:pStyle w:val="TableText"/>
              <w:numPr>
                <w:ilvl w:val="0"/>
                <w:numId w:val="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t>Artificial Intelligence technology will improve CDS productivity and ensure the cases with opportunity are reviewed first.</w:t>
            </w:r>
            <w:r w:rsidR="002E4F83">
              <w:rPr>
                <w:rFonts w:cs="Arial"/>
                <w:spacing w:val="0"/>
                <w:sz w:val="20"/>
                <w:szCs w:val="22"/>
              </w:rPr>
              <w:t xml:space="preserve">  Prioritization is extremely </w:t>
            </w:r>
            <w:r w:rsidR="00A70767">
              <w:rPr>
                <w:rFonts w:cs="Arial"/>
                <w:spacing w:val="0"/>
                <w:sz w:val="20"/>
                <w:szCs w:val="22"/>
              </w:rPr>
              <w:t>beneficial</w:t>
            </w:r>
            <w:r w:rsidR="002E4F83">
              <w:rPr>
                <w:rFonts w:cs="Arial"/>
                <w:spacing w:val="0"/>
                <w:sz w:val="20"/>
                <w:szCs w:val="22"/>
              </w:rPr>
              <w:t xml:space="preserve"> because:</w:t>
            </w:r>
          </w:p>
          <w:p w14:paraId="2BCD111F" w14:textId="77777777" w:rsidR="002E4F83" w:rsidRDefault="002E4F83" w:rsidP="002E4F83">
            <w:pPr>
              <w:pStyle w:val="TableText"/>
              <w:numPr>
                <w:ilvl w:val="1"/>
                <w:numId w:val="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t>Some cases are more complex than others</w:t>
            </w:r>
          </w:p>
          <w:p w14:paraId="7516A79A" w14:textId="77777777" w:rsidR="002E4F83" w:rsidRDefault="002E4F83" w:rsidP="002E4F83">
            <w:pPr>
              <w:pStyle w:val="TableText"/>
              <w:numPr>
                <w:ilvl w:val="1"/>
                <w:numId w:val="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t>Some are already correctly documented</w:t>
            </w:r>
          </w:p>
          <w:p w14:paraId="0128BAE2" w14:textId="77777777" w:rsidR="002E4F83" w:rsidRPr="009B450D" w:rsidRDefault="002E4F83" w:rsidP="002E4F83">
            <w:pPr>
              <w:pStyle w:val="TableText"/>
              <w:numPr>
                <w:ilvl w:val="1"/>
                <w:numId w:val="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t>Some don’t need to be re-reviewed</w:t>
            </w:r>
          </w:p>
        </w:tc>
      </w:tr>
      <w:tr w:rsidR="00BA5168" w:rsidRPr="009B450D" w14:paraId="262FAB12" w14:textId="77777777" w:rsidTr="00D74AB2">
        <w:tc>
          <w:tcPr>
            <w:tcW w:w="856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A3DBB0" w14:textId="77777777" w:rsidR="00BA5168" w:rsidRPr="001747DF" w:rsidRDefault="00BA5168" w:rsidP="00D74AB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 w:rsidRPr="001747DF">
              <w:rPr>
                <w:rFonts w:ascii="Arial" w:hAnsi="Arial" w:cs="Arial"/>
                <w:b/>
              </w:rPr>
              <w:t>Project Business Goal</w:t>
            </w:r>
          </w:p>
        </w:tc>
      </w:tr>
      <w:tr w:rsidR="00BA5168" w:rsidRPr="009B450D" w14:paraId="05CE5B6C" w14:textId="77777777" w:rsidTr="00D74AB2">
        <w:trPr>
          <w:trHeight w:val="1090"/>
        </w:trPr>
        <w:tc>
          <w:tcPr>
            <w:tcW w:w="856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28F3F" w14:textId="77777777" w:rsidR="00A70767" w:rsidRDefault="00A70767" w:rsidP="00A70767">
            <w:pPr>
              <w:pStyle w:val="TableText"/>
              <w:numPr>
                <w:ilvl w:val="0"/>
                <w:numId w:val="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t>Improve accuracy of physician documentation</w:t>
            </w:r>
          </w:p>
          <w:p w14:paraId="7BFE1A78" w14:textId="77777777" w:rsidR="00BA5168" w:rsidRDefault="002E4F83" w:rsidP="00BA5168">
            <w:pPr>
              <w:pStyle w:val="TableText"/>
              <w:numPr>
                <w:ilvl w:val="0"/>
                <w:numId w:val="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t>Increase Case Mix Index and DRG reimbursement</w:t>
            </w:r>
          </w:p>
          <w:p w14:paraId="5E4A6717" w14:textId="77777777" w:rsidR="002E4F83" w:rsidRDefault="002E4F83" w:rsidP="00BA5168">
            <w:pPr>
              <w:pStyle w:val="TableText"/>
              <w:numPr>
                <w:ilvl w:val="0"/>
                <w:numId w:val="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t>Improve Severity of Illness and Risk of Mortality reporting accuracy</w:t>
            </w:r>
          </w:p>
          <w:p w14:paraId="6761B864" w14:textId="77777777" w:rsidR="00D02F37" w:rsidRDefault="00D02F37" w:rsidP="00BA5168">
            <w:pPr>
              <w:pStyle w:val="TableText"/>
              <w:numPr>
                <w:ilvl w:val="0"/>
                <w:numId w:val="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t>Improve Observed/Expected Mortality metrics</w:t>
            </w:r>
          </w:p>
          <w:p w14:paraId="2AEBC8C5" w14:textId="77777777" w:rsidR="00547EB9" w:rsidRDefault="00547EB9" w:rsidP="002E4F83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</w:p>
          <w:p w14:paraId="3281EB62" w14:textId="770CF885" w:rsidR="002E4F83" w:rsidRDefault="00547EB9" w:rsidP="002E4F83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t>CDI currently contributes approximately $</w:t>
            </w:r>
            <w:r w:rsidR="000F0790">
              <w:rPr>
                <w:rFonts w:cs="Arial"/>
                <w:spacing w:val="0"/>
                <w:sz w:val="20"/>
                <w:szCs w:val="22"/>
              </w:rPr>
              <w:t>X</w:t>
            </w:r>
            <w:r>
              <w:rPr>
                <w:rFonts w:cs="Arial"/>
                <w:spacing w:val="0"/>
                <w:sz w:val="20"/>
                <w:szCs w:val="22"/>
              </w:rPr>
              <w:t xml:space="preserve"> mill per year in i</w:t>
            </w:r>
            <w:r w:rsidR="00290675">
              <w:rPr>
                <w:rFonts w:cs="Arial"/>
                <w:spacing w:val="0"/>
                <w:sz w:val="20"/>
                <w:szCs w:val="22"/>
              </w:rPr>
              <w:t>ncreased</w:t>
            </w:r>
            <w:r>
              <w:rPr>
                <w:rFonts w:cs="Arial"/>
                <w:spacing w:val="0"/>
                <w:sz w:val="20"/>
                <w:szCs w:val="22"/>
              </w:rPr>
              <w:t xml:space="preserve"> reimbursement.</w:t>
            </w:r>
          </w:p>
          <w:p w14:paraId="3D2FE2D2" w14:textId="6B30EAD3" w:rsidR="00D02F37" w:rsidRDefault="00D02F37" w:rsidP="002E4F83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t>Implementation of this technology has the potential to further increase reimbursement by $</w:t>
            </w:r>
            <w:r w:rsidR="000F0790">
              <w:rPr>
                <w:rFonts w:cs="Arial"/>
                <w:spacing w:val="0"/>
                <w:sz w:val="20"/>
                <w:szCs w:val="22"/>
              </w:rPr>
              <w:t>X</w:t>
            </w:r>
            <w:r>
              <w:rPr>
                <w:rFonts w:cs="Arial"/>
                <w:spacing w:val="0"/>
                <w:sz w:val="20"/>
                <w:szCs w:val="22"/>
              </w:rPr>
              <w:t xml:space="preserve"> mill per year.</w:t>
            </w:r>
          </w:p>
          <w:p w14:paraId="711D726B" w14:textId="77777777" w:rsidR="00547EB9" w:rsidRDefault="00547EB9" w:rsidP="002E4F83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</w:p>
          <w:p w14:paraId="11BB74CD" w14:textId="77777777" w:rsidR="002E4F83" w:rsidRDefault="002E4F83" w:rsidP="00290675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t>Increasing CDS productivity and improving prioritization of the cases they review results in more meaningful outcome</w:t>
            </w:r>
            <w:r w:rsidR="00290675">
              <w:rPr>
                <w:rFonts w:cs="Arial"/>
                <w:spacing w:val="0"/>
                <w:sz w:val="20"/>
                <w:szCs w:val="22"/>
              </w:rPr>
              <w:t>s</w:t>
            </w:r>
            <w:r>
              <w:rPr>
                <w:rFonts w:cs="Arial"/>
                <w:spacing w:val="0"/>
                <w:sz w:val="20"/>
                <w:szCs w:val="22"/>
              </w:rPr>
              <w:t xml:space="preserve"> for their efforts.  Implementing technology to support this allows us to utilize our current staff expertise for improved outcomes without adding staff members.</w:t>
            </w:r>
          </w:p>
          <w:p w14:paraId="5F7C8EBF" w14:textId="77777777" w:rsidR="00427B27" w:rsidRDefault="00427B27" w:rsidP="00290675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</w:p>
          <w:p w14:paraId="487D3105" w14:textId="35470A1C" w:rsidR="00427B27" w:rsidRPr="00427B27" w:rsidRDefault="00427B27" w:rsidP="00A70767">
            <w:pPr>
              <w:pStyle w:val="TableText"/>
              <w:spacing w:before="40" w:after="40"/>
              <w:rPr>
                <w:rFonts w:cs="Arial"/>
                <w:b/>
                <w:spacing w:val="0"/>
                <w:sz w:val="20"/>
                <w:szCs w:val="22"/>
              </w:rPr>
            </w:pPr>
          </w:p>
        </w:tc>
      </w:tr>
      <w:tr w:rsidR="00064A00" w:rsidRPr="009B450D" w14:paraId="08C3232F" w14:textId="77777777" w:rsidTr="008E7F3F">
        <w:tc>
          <w:tcPr>
            <w:tcW w:w="856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95E01A" w14:textId="77777777" w:rsidR="00064A00" w:rsidRPr="001747DF" w:rsidRDefault="00064A00" w:rsidP="008E7F3F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 and Return Projections</w:t>
            </w:r>
          </w:p>
        </w:tc>
      </w:tr>
      <w:tr w:rsidR="00064A00" w:rsidRPr="009B450D" w14:paraId="6187EEAF" w14:textId="77777777" w:rsidTr="008E7F3F">
        <w:trPr>
          <w:trHeight w:val="1090"/>
        </w:trPr>
        <w:tc>
          <w:tcPr>
            <w:tcW w:w="856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tbl>
            <w:tblPr>
              <w:tblW w:w="2925" w:type="dxa"/>
              <w:tblLook w:val="04A0" w:firstRow="1" w:lastRow="0" w:firstColumn="1" w:lastColumn="0" w:noHBand="0" w:noVBand="1"/>
            </w:tblPr>
            <w:tblGrid>
              <w:gridCol w:w="960"/>
              <w:gridCol w:w="985"/>
              <w:gridCol w:w="980"/>
            </w:tblGrid>
            <w:tr w:rsidR="00A96FF6" w:rsidRPr="00A96FF6" w14:paraId="0782F77D" w14:textId="77777777" w:rsidTr="00A96FF6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297E77" w14:textId="77777777" w:rsidR="00A96FF6" w:rsidRPr="00A96FF6" w:rsidRDefault="00A96FF6" w:rsidP="00A96FF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E58481" w14:textId="77777777" w:rsidR="00A96FF6" w:rsidRPr="00A96FF6" w:rsidRDefault="00A96FF6" w:rsidP="00A96FF6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6FF6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  <w:t>Cost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192A92" w14:textId="77777777" w:rsidR="00A96FF6" w:rsidRPr="00A96FF6" w:rsidRDefault="00A96FF6" w:rsidP="00A96FF6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6FF6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  <w:t>Return</w:t>
                  </w:r>
                </w:p>
              </w:tc>
            </w:tr>
            <w:tr w:rsidR="00A96FF6" w:rsidRPr="00A96FF6" w14:paraId="3D66B6D2" w14:textId="77777777" w:rsidTr="00A96FF6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5D1EB9" w14:textId="77777777" w:rsidR="00A96FF6" w:rsidRPr="00A96FF6" w:rsidRDefault="00A96FF6" w:rsidP="00A96FF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6FF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Year 1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706E67" w14:textId="185A48BD" w:rsidR="00A96FF6" w:rsidRPr="00A96FF6" w:rsidRDefault="000F0790" w:rsidP="00A96FF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$X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486565" w14:textId="5C4DA1FB" w:rsidR="00A96FF6" w:rsidRPr="00A96FF6" w:rsidRDefault="000F0790" w:rsidP="00A96FF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$X</w:t>
                  </w:r>
                </w:p>
              </w:tc>
            </w:tr>
            <w:tr w:rsidR="00A96FF6" w:rsidRPr="00A96FF6" w14:paraId="7BE2047B" w14:textId="77777777" w:rsidTr="00A96FF6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807C0B" w14:textId="77777777" w:rsidR="00A96FF6" w:rsidRPr="00A96FF6" w:rsidRDefault="00A96FF6" w:rsidP="00A96FF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6FF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Year 2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237F18" w14:textId="65F68CA5" w:rsidR="00A96FF6" w:rsidRPr="00A96FF6" w:rsidRDefault="000F0790" w:rsidP="00A96FF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$X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CFB866" w14:textId="180E09BB" w:rsidR="00A96FF6" w:rsidRPr="00A96FF6" w:rsidRDefault="000F0790" w:rsidP="00A96FF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$X</w:t>
                  </w:r>
                </w:p>
              </w:tc>
            </w:tr>
            <w:tr w:rsidR="00A96FF6" w:rsidRPr="00A96FF6" w14:paraId="23DCC9AB" w14:textId="77777777" w:rsidTr="00A96FF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D2E450" w14:textId="77777777" w:rsidR="00A96FF6" w:rsidRPr="00A96FF6" w:rsidRDefault="00A96FF6" w:rsidP="00A96FF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96FF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Year 3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8D8DD4" w14:textId="7BC2AB68" w:rsidR="00A96FF6" w:rsidRPr="00A96FF6" w:rsidRDefault="000F0790" w:rsidP="00A96FF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$X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86E3C4" w14:textId="2BD578C7" w:rsidR="00A96FF6" w:rsidRPr="00A96FF6" w:rsidRDefault="000F0790" w:rsidP="00A96FF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$X</w:t>
                  </w:r>
                </w:p>
              </w:tc>
            </w:tr>
            <w:tr w:rsidR="00A96FF6" w:rsidRPr="00A96FF6" w14:paraId="1F607D14" w14:textId="77777777" w:rsidTr="00A96FF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317B83" w14:textId="77777777" w:rsidR="00A96FF6" w:rsidRPr="00A96FF6" w:rsidRDefault="00A96FF6" w:rsidP="00A96FF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5C3AFD" w14:textId="59D22F18" w:rsidR="00A96FF6" w:rsidRPr="00A96FF6" w:rsidRDefault="000F0790" w:rsidP="00A96FF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$X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4FD30D" w14:textId="25B8C580" w:rsidR="00A96FF6" w:rsidRPr="00A96FF6" w:rsidRDefault="000F0790" w:rsidP="00A96FF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$X</w:t>
                  </w:r>
                </w:p>
              </w:tc>
            </w:tr>
            <w:tr w:rsidR="00A96FF6" w:rsidRPr="00A96FF6" w14:paraId="105C6F33" w14:textId="77777777" w:rsidTr="00A96FF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B3C8F" w14:textId="77777777" w:rsidR="00A96FF6" w:rsidRPr="00A96FF6" w:rsidRDefault="00A96FF6" w:rsidP="00A96FF6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3F210C" w14:textId="77777777" w:rsidR="00A96FF6" w:rsidRPr="00A96FF6" w:rsidRDefault="00A96FF6" w:rsidP="00A96FF6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96FF6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  <w:t>3 Year ROI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3C729" w14:textId="380080D5" w:rsidR="00A96FF6" w:rsidRPr="00A96FF6" w:rsidRDefault="000F0790" w:rsidP="00A96FF6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$X</w:t>
                  </w:r>
                </w:p>
              </w:tc>
            </w:tr>
          </w:tbl>
          <w:p w14:paraId="4522C261" w14:textId="77777777" w:rsidR="00064A00" w:rsidRPr="00427B27" w:rsidRDefault="00064A00" w:rsidP="00064A00">
            <w:pPr>
              <w:pStyle w:val="TableText"/>
              <w:spacing w:before="40" w:after="40"/>
              <w:rPr>
                <w:rFonts w:cs="Arial"/>
                <w:b/>
                <w:spacing w:val="0"/>
                <w:sz w:val="20"/>
                <w:szCs w:val="22"/>
              </w:rPr>
            </w:pPr>
          </w:p>
        </w:tc>
      </w:tr>
    </w:tbl>
    <w:p w14:paraId="137F8E47" w14:textId="17E9B540" w:rsidR="0084373E" w:rsidRDefault="0084373E" w:rsidP="0084373E">
      <w:pPr>
        <w:spacing w:after="160" w:line="259" w:lineRule="auto"/>
        <w:rPr>
          <w:rFonts w:asciiTheme="minorHAnsi" w:hAnsiTheme="minorHAnsi" w:cstheme="minorBidi"/>
          <w:color w:val="44546A" w:themeColor="dark2"/>
          <w:sz w:val="22"/>
          <w:szCs w:val="22"/>
        </w:rPr>
      </w:pPr>
      <w:r>
        <w:rPr>
          <w:i/>
          <w:iCs/>
          <w:sz w:val="22"/>
          <w:szCs w:val="22"/>
        </w:rPr>
        <w:t xml:space="preserve">Source: ACDIS Leadership Council member </w:t>
      </w:r>
      <w:r w:rsidRPr="0084373E">
        <w:rPr>
          <w:b/>
          <w:bCs/>
          <w:i/>
          <w:iCs/>
          <w:sz w:val="22"/>
          <w:szCs w:val="22"/>
        </w:rPr>
        <w:t xml:space="preserve">Kati Beisel, MSM, RHIA, CCS, </w:t>
      </w:r>
      <w:r w:rsidRPr="0084373E">
        <w:rPr>
          <w:i/>
          <w:iCs/>
          <w:sz w:val="22"/>
          <w:szCs w:val="22"/>
        </w:rPr>
        <w:t>administrative director of HIM at Integris Health in Oklahoma</w:t>
      </w:r>
      <w:r>
        <w:rPr>
          <w:i/>
          <w:iCs/>
          <w:sz w:val="22"/>
          <w:szCs w:val="22"/>
        </w:rPr>
        <w:t>. Published with permission.</w:t>
      </w:r>
    </w:p>
    <w:sectPr w:rsidR="0084373E" w:rsidSect="00BF5950"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C918D" w14:textId="77777777" w:rsidR="00412887" w:rsidRDefault="00412887" w:rsidP="00A96FF6">
      <w:r>
        <w:separator/>
      </w:r>
    </w:p>
  </w:endnote>
  <w:endnote w:type="continuationSeparator" w:id="0">
    <w:p w14:paraId="34B53E65" w14:textId="77777777" w:rsidR="00412887" w:rsidRDefault="00412887" w:rsidP="00A9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A8A4B" w14:textId="77777777" w:rsidR="00412887" w:rsidRDefault="00412887" w:rsidP="00A96FF6">
      <w:r>
        <w:separator/>
      </w:r>
    </w:p>
  </w:footnote>
  <w:footnote w:type="continuationSeparator" w:id="0">
    <w:p w14:paraId="298146F9" w14:textId="77777777" w:rsidR="00412887" w:rsidRDefault="00412887" w:rsidP="00A9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6D5A"/>
    <w:multiLevelType w:val="hybridMultilevel"/>
    <w:tmpl w:val="CAF6D4AC"/>
    <w:lvl w:ilvl="0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1" w15:restartNumberingAfterBreak="0">
    <w:nsid w:val="2D432CD5"/>
    <w:multiLevelType w:val="hybridMultilevel"/>
    <w:tmpl w:val="31BA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E4AF9"/>
    <w:multiLevelType w:val="hybridMultilevel"/>
    <w:tmpl w:val="F410B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914CF"/>
    <w:multiLevelType w:val="multilevel"/>
    <w:tmpl w:val="03FC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4C73A1"/>
    <w:multiLevelType w:val="hybridMultilevel"/>
    <w:tmpl w:val="AB36B6E4"/>
    <w:lvl w:ilvl="0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146"/>
    <w:rsid w:val="00040BB0"/>
    <w:rsid w:val="00055195"/>
    <w:rsid w:val="00064A00"/>
    <w:rsid w:val="000F0790"/>
    <w:rsid w:val="001C3777"/>
    <w:rsid w:val="00290675"/>
    <w:rsid w:val="002E4F83"/>
    <w:rsid w:val="00412887"/>
    <w:rsid w:val="00427B27"/>
    <w:rsid w:val="004C4837"/>
    <w:rsid w:val="00547EB9"/>
    <w:rsid w:val="005B1233"/>
    <w:rsid w:val="00727129"/>
    <w:rsid w:val="007A5146"/>
    <w:rsid w:val="0084373E"/>
    <w:rsid w:val="00912C54"/>
    <w:rsid w:val="00A13700"/>
    <w:rsid w:val="00A70767"/>
    <w:rsid w:val="00A96FF6"/>
    <w:rsid w:val="00B249DA"/>
    <w:rsid w:val="00B277AD"/>
    <w:rsid w:val="00BA5168"/>
    <w:rsid w:val="00BF5950"/>
    <w:rsid w:val="00C05121"/>
    <w:rsid w:val="00CB7982"/>
    <w:rsid w:val="00CC444E"/>
    <w:rsid w:val="00CE334E"/>
    <w:rsid w:val="00D0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6ECDC"/>
  <w15:docId w15:val="{4BCA4AE2-B723-4DC0-BEC5-6A7FBF0F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51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4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46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BA5168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BA51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96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F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INTEGRIS Health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Beisel, Kati N</dc:creator>
  <cp:lastModifiedBy>Delaney Rebernik</cp:lastModifiedBy>
  <cp:revision>17</cp:revision>
  <dcterms:created xsi:type="dcterms:W3CDTF">2017-04-28T00:20:00Z</dcterms:created>
  <dcterms:modified xsi:type="dcterms:W3CDTF">2019-10-15T01:28:00Z</dcterms:modified>
</cp:coreProperties>
</file>