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B273" w14:textId="6289C80F" w:rsidR="00E73671" w:rsidRDefault="00E73671" w:rsidP="00E73671">
      <w:pPr>
        <w:pStyle w:val="Kicker"/>
      </w:pPr>
      <w:r>
        <w:t>Regulatory committee insight</w:t>
      </w:r>
    </w:p>
    <w:p w14:paraId="5ACCD571" w14:textId="4E09DC5F" w:rsidR="00E73671" w:rsidRPr="00E73671" w:rsidRDefault="00E73671" w:rsidP="00E73671">
      <w:pPr>
        <w:pStyle w:val="Ahead"/>
      </w:pPr>
      <w:r>
        <w:t>Reviewing ICD-10-PCS Section X</w:t>
      </w:r>
    </w:p>
    <w:p w14:paraId="3713F5A3" w14:textId="6FC22F61" w:rsidR="00E73671" w:rsidRDefault="00E73671" w:rsidP="00E73671">
      <w:pPr>
        <w:pStyle w:val="Byline"/>
      </w:pPr>
      <w:r>
        <w:t>by Sharme Brodie, RN, CCDS, CCDS-O</w:t>
      </w:r>
    </w:p>
    <w:p w14:paraId="13C3370C" w14:textId="18B0B12B" w:rsidR="00E73671" w:rsidRDefault="00E73671" w:rsidP="00E73671">
      <w:pPr>
        <w:pStyle w:val="body"/>
      </w:pPr>
      <w:r>
        <w:t>There is a saying that “the only constant in life is change</w:t>
      </w:r>
      <w:r w:rsidR="006A2982">
        <w:t>.</w:t>
      </w:r>
      <w:r>
        <w:t xml:space="preserve">” </w:t>
      </w:r>
      <w:r w:rsidR="006A2982">
        <w:t>T</w:t>
      </w:r>
      <w:r>
        <w:t>his can also be said about healthcare.</w:t>
      </w:r>
      <w:r w:rsidR="006A2982">
        <w:t xml:space="preserve"> </w:t>
      </w:r>
      <w:r>
        <w:t xml:space="preserve">New advances in medical technologies are constantly introduced allowing us to better care for our patients. Unfortunately, the cost of these new technologies can lead to an overwhelming financial burden to hospitals and patients. </w:t>
      </w:r>
      <w:r w:rsidR="006A2982">
        <w:t>So,</w:t>
      </w:r>
      <w:r>
        <w:t xml:space="preserve"> what can you, the CDI specialist, do to lessen the financial burden of new technology in your hospital?</w:t>
      </w:r>
      <w:r w:rsidR="006A2982">
        <w:t xml:space="preserve"> </w:t>
      </w:r>
      <w:r>
        <w:t>Let’s start with an overview of how Medicare pays for new technologies.</w:t>
      </w:r>
    </w:p>
    <w:p w14:paraId="4323901D" w14:textId="6FEEB057" w:rsidR="00E73671" w:rsidRDefault="00E73671" w:rsidP="00E73671">
      <w:pPr>
        <w:pStyle w:val="body"/>
        <w:rPr>
          <w:rFonts w:eastAsia="Times New Roman"/>
        </w:rPr>
      </w:pPr>
      <w:r>
        <w:rPr>
          <w:rFonts w:eastAsia="Times New Roman"/>
        </w:rPr>
        <w:t>When certain criteria are met (</w:t>
      </w:r>
      <w:r w:rsidR="006A2982">
        <w:rPr>
          <w:rFonts w:eastAsia="Times New Roman"/>
        </w:rPr>
        <w:t>fiscal year</w:t>
      </w:r>
      <w:r>
        <w:rPr>
          <w:rFonts w:eastAsia="Times New Roman"/>
        </w:rPr>
        <w:t xml:space="preserve"> </w:t>
      </w:r>
      <w:r w:rsidR="006A2982">
        <w:rPr>
          <w:rFonts w:eastAsia="Times New Roman"/>
        </w:rPr>
        <w:t xml:space="preserve">[FY] </w:t>
      </w:r>
      <w:r>
        <w:rPr>
          <w:rFonts w:eastAsia="Times New Roman"/>
        </w:rPr>
        <w:t xml:space="preserve">2012 </w:t>
      </w:r>
      <w:r w:rsidR="006A2982">
        <w:rPr>
          <w:rFonts w:eastAsia="Times New Roman"/>
        </w:rPr>
        <w:t>inpatient prospective payment system [IPPS] f</w:t>
      </w:r>
      <w:r>
        <w:rPr>
          <w:rFonts w:eastAsia="Times New Roman"/>
        </w:rPr>
        <w:t>inal rule), CMS may provide additional payment for new, high-cost technologies in the inpatient setting</w:t>
      </w:r>
      <w:r w:rsidR="006A2982">
        <w:rPr>
          <w:rFonts w:eastAsia="Times New Roman"/>
        </w:rPr>
        <w:t>. New</w:t>
      </w:r>
      <w:r>
        <w:rPr>
          <w:rFonts w:eastAsia="Times New Roman"/>
        </w:rPr>
        <w:t xml:space="preserve"> </w:t>
      </w:r>
      <w:r w:rsidR="006A2982">
        <w:rPr>
          <w:rFonts w:eastAsia="Times New Roman"/>
        </w:rPr>
        <w:t>t</w:t>
      </w:r>
      <w:r>
        <w:rPr>
          <w:rFonts w:eastAsia="Times New Roman"/>
        </w:rPr>
        <w:t xml:space="preserve">echnology </w:t>
      </w:r>
      <w:r w:rsidR="006A2982">
        <w:rPr>
          <w:rFonts w:eastAsia="Times New Roman"/>
        </w:rPr>
        <w:t>a</w:t>
      </w:r>
      <w:r>
        <w:rPr>
          <w:rFonts w:eastAsia="Times New Roman"/>
        </w:rPr>
        <w:t xml:space="preserve">dd-on </w:t>
      </w:r>
      <w:r w:rsidR="006A2982">
        <w:rPr>
          <w:rFonts w:eastAsia="Times New Roman"/>
        </w:rPr>
        <w:t>p</w:t>
      </w:r>
      <w:r>
        <w:rPr>
          <w:rFonts w:eastAsia="Times New Roman"/>
        </w:rPr>
        <w:t xml:space="preserve">ayments (NTAPs) provides additional payment to hospitals above the standard MS-DRG payment amount. A given technology’s </w:t>
      </w:r>
      <w:hyperlink r:id="rId5" w:history="1">
        <w:r w:rsidRPr="00E73671">
          <w:rPr>
            <w:rStyle w:val="webemailaddress"/>
          </w:rPr>
          <w:t>NTAP</w:t>
        </w:r>
      </w:hyperlink>
      <w:r>
        <w:rPr>
          <w:rFonts w:eastAsia="Times New Roman"/>
        </w:rPr>
        <w:t xml:space="preserve"> designation lasts no more than </w:t>
      </w:r>
      <w:r w:rsidR="006A2982">
        <w:rPr>
          <w:rFonts w:eastAsia="Times New Roman"/>
        </w:rPr>
        <w:t>three</w:t>
      </w:r>
      <w:r>
        <w:rPr>
          <w:rFonts w:eastAsia="Times New Roman"/>
        </w:rPr>
        <w:t xml:space="preserve"> years for a specific indication.</w:t>
      </w:r>
      <w:r w:rsidR="006A2982">
        <w:rPr>
          <w:rFonts w:eastAsia="Times New Roman"/>
        </w:rPr>
        <w:t xml:space="preserve"> </w:t>
      </w:r>
      <w:r>
        <w:rPr>
          <w:rFonts w:eastAsia="Times New Roman"/>
        </w:rPr>
        <w:t xml:space="preserve">This means once a new technology add-on payment status is granted, hospitals are eligible to receive the NTAP for up to </w:t>
      </w:r>
      <w:r w:rsidR="006A2982">
        <w:rPr>
          <w:rFonts w:eastAsia="Times New Roman"/>
        </w:rPr>
        <w:t>three</w:t>
      </w:r>
      <w:r>
        <w:rPr>
          <w:rFonts w:eastAsia="Times New Roman"/>
        </w:rPr>
        <w:t xml:space="preserve"> years. In order for the new technology to qualify for NTAP, a technology must meet </w:t>
      </w:r>
      <w:r w:rsidR="006A2982">
        <w:rPr>
          <w:rFonts w:eastAsia="Times New Roman"/>
        </w:rPr>
        <w:t>the following</w:t>
      </w:r>
      <w:r>
        <w:rPr>
          <w:rFonts w:eastAsia="Times New Roman"/>
        </w:rPr>
        <w:t xml:space="preserve"> criteria:</w:t>
      </w:r>
    </w:p>
    <w:p w14:paraId="465C90AF" w14:textId="37E857F5" w:rsidR="00E73671" w:rsidRDefault="00E73671" w:rsidP="00E73671">
      <w:pPr>
        <w:pStyle w:val="Bullets"/>
      </w:pPr>
      <w:r>
        <w:rPr>
          <w:b/>
          <w:bCs/>
        </w:rPr>
        <w:t xml:space="preserve">Newness: </w:t>
      </w:r>
      <w:r>
        <w:t xml:space="preserve">A technology is considered new until claims </w:t>
      </w:r>
      <w:hyperlink r:id="rId6" w:history="1">
        <w:r w:rsidRPr="00E73671">
          <w:rPr>
            <w:rStyle w:val="webemailaddress"/>
          </w:rPr>
          <w:t>data</w:t>
        </w:r>
      </w:hyperlink>
      <w:r>
        <w:t xml:space="preserve"> reflecting the use of that technology become available. The technology must also not be “substantially similar” to existing technologies</w:t>
      </w:r>
      <w:r w:rsidR="006A2982">
        <w:t>.</w:t>
      </w:r>
    </w:p>
    <w:p w14:paraId="682775D8" w14:textId="678311EA" w:rsidR="00E73671" w:rsidRDefault="00E73671" w:rsidP="00E73671">
      <w:pPr>
        <w:pStyle w:val="Bullets"/>
      </w:pPr>
      <w:r>
        <w:rPr>
          <w:b/>
          <w:bCs/>
        </w:rPr>
        <w:t xml:space="preserve">Cost: </w:t>
      </w:r>
      <w:r>
        <w:t>The technology is inadequately paid under the existing MS-DRG system as shown by the average standardized charge for inpatient cases receiving the technology exceed the cost threshold</w:t>
      </w:r>
      <w:r w:rsidR="006A2982">
        <w:t>.</w:t>
      </w:r>
    </w:p>
    <w:p w14:paraId="4CE0CB5D" w14:textId="2A533BE4" w:rsidR="00E73671" w:rsidRDefault="00E73671" w:rsidP="00E73671">
      <w:pPr>
        <w:pStyle w:val="Bullets"/>
      </w:pPr>
      <w:r>
        <w:rPr>
          <w:b/>
          <w:bCs/>
        </w:rPr>
        <w:t xml:space="preserve">Clinical Improvement: </w:t>
      </w:r>
      <w:r>
        <w:t>Use of the technology must significantly improve clinical outcomes for a patient population as compared to currently available treatments. Clinical data must be specific or generalizable to Medicare patient population</w:t>
      </w:r>
      <w:r w:rsidR="006A2982">
        <w:t>.</w:t>
      </w:r>
    </w:p>
    <w:p w14:paraId="19FE78B2" w14:textId="77777777" w:rsidR="00E73671" w:rsidRDefault="00E73671" w:rsidP="00E73671">
      <w:pPr>
        <w:pStyle w:val="body"/>
      </w:pPr>
    </w:p>
    <w:p w14:paraId="26ED9BB9" w14:textId="5DC2F229" w:rsidR="00E73671" w:rsidRDefault="006A2982" w:rsidP="00E73671">
      <w:pPr>
        <w:pStyle w:val="body"/>
      </w:pPr>
      <w:r>
        <w:t>An important note: d</w:t>
      </w:r>
      <w:r w:rsidR="00E73671">
        <w:t xml:space="preserve">evices that obtain breakthrough designation and drugs that obtain qualified infectious disease product (QIDP) designation from the FDA only need to show they meet the cost criteria. </w:t>
      </w:r>
      <w:r>
        <w:t xml:space="preserve">In those cases, </w:t>
      </w:r>
      <w:r w:rsidR="00E73671">
        <w:t>CMS will assume the technology meets the newness and clinical improvement criteria.</w:t>
      </w:r>
    </w:p>
    <w:p w14:paraId="38500E8D" w14:textId="7F2934FE" w:rsidR="00E73671" w:rsidRDefault="006A2982" w:rsidP="00E73671">
      <w:pPr>
        <w:pStyle w:val="body"/>
        <w:rPr>
          <w:lang w:val="en-GB"/>
        </w:rPr>
      </w:pPr>
      <w:r>
        <w:t>So,</w:t>
      </w:r>
      <w:r w:rsidR="00E73671">
        <w:t xml:space="preserve"> when your hospital uses a Medicare approved new technology, it becomes eligible for a NTAP.</w:t>
      </w:r>
      <w:r>
        <w:t xml:space="preserve"> </w:t>
      </w:r>
      <w:r w:rsidR="00E73671">
        <w:t>This is in addition to the DRG payment for hospital inpatient care. </w:t>
      </w:r>
      <w:r w:rsidR="00E73671">
        <w:rPr>
          <w:lang w:val="en-GB"/>
        </w:rPr>
        <w:t>For FY 2019, the calculation for add-on payments is based on cost to hospitals for the new medical service or technology. Specifically, Medicare makes an add-on payment equal to the lesser of the following:</w:t>
      </w:r>
    </w:p>
    <w:p w14:paraId="724B1302" w14:textId="77777777" w:rsidR="00E73671" w:rsidRDefault="00E73671" w:rsidP="00E73671">
      <w:pPr>
        <w:pStyle w:val="Bullets"/>
        <w:rPr>
          <w:lang w:val="en-GB"/>
        </w:rPr>
      </w:pPr>
      <w:r>
        <w:rPr>
          <w:lang w:val="en-GB"/>
        </w:rPr>
        <w:t>50% of the costs of the new medical service or technology, or</w:t>
      </w:r>
    </w:p>
    <w:p w14:paraId="4525211F" w14:textId="77777777" w:rsidR="00E73671" w:rsidRDefault="00E73671" w:rsidP="00E73671">
      <w:pPr>
        <w:pStyle w:val="Bullets"/>
        <w:rPr>
          <w:rFonts w:eastAsiaTheme="minorHAnsi"/>
        </w:rPr>
      </w:pPr>
      <w:r>
        <w:rPr>
          <w:lang w:val="en-GB"/>
        </w:rPr>
        <w:t>50% of the amount by which the costs of the case exceed the standard DRG payment</w:t>
      </w:r>
    </w:p>
    <w:p w14:paraId="6167EC05" w14:textId="77777777" w:rsidR="00E73671" w:rsidRDefault="00E73671" w:rsidP="00E73671">
      <w:pPr>
        <w:pStyle w:val="body"/>
        <w:rPr>
          <w:lang w:val="en-GB"/>
        </w:rPr>
      </w:pPr>
    </w:p>
    <w:p w14:paraId="3C748398" w14:textId="2C58B015" w:rsidR="00E73671" w:rsidRDefault="00E73671" w:rsidP="00E73671">
      <w:pPr>
        <w:pStyle w:val="body"/>
        <w:rPr>
          <w:lang w:val="en-GB"/>
        </w:rPr>
      </w:pPr>
      <w:r>
        <w:rPr>
          <w:lang w:val="en-GB"/>
        </w:rPr>
        <w:t>In response to concerns from commenters and stakeholders, CMS agrees “that capping the add-on payment amount at 50 percent could, in some cases, no longer provide a sufficient incentive for the use of the technology.” As such, for discharges on or after October 1, 2019, CMS finalized their proposal to make the add-on payment be equal to the lesser of the following:</w:t>
      </w:r>
    </w:p>
    <w:p w14:paraId="5CE9362F" w14:textId="77777777" w:rsidR="00E73671" w:rsidRDefault="00E73671" w:rsidP="00E73671">
      <w:pPr>
        <w:pStyle w:val="Bullets"/>
        <w:rPr>
          <w:lang w:val="en-GB"/>
        </w:rPr>
      </w:pPr>
      <w:r>
        <w:rPr>
          <w:lang w:val="en-GB"/>
        </w:rPr>
        <w:t>65% of the costs of the new medical service or technology, or</w:t>
      </w:r>
    </w:p>
    <w:p w14:paraId="79D08C5A" w14:textId="77777777" w:rsidR="00E73671" w:rsidRDefault="00E73671" w:rsidP="00E73671">
      <w:pPr>
        <w:pStyle w:val="Bullets"/>
        <w:rPr>
          <w:rFonts w:eastAsiaTheme="minorHAnsi"/>
        </w:rPr>
      </w:pPr>
      <w:r>
        <w:rPr>
          <w:lang w:val="en-GB"/>
        </w:rPr>
        <w:t>65% of the amount by which the costs of the case exceed the standard DRG payment.</w:t>
      </w:r>
    </w:p>
    <w:p w14:paraId="28A6E42E" w14:textId="77777777" w:rsidR="00E73671" w:rsidRDefault="00E73671" w:rsidP="00E73671">
      <w:pPr>
        <w:pStyle w:val="body"/>
      </w:pPr>
    </w:p>
    <w:p w14:paraId="50A54C62" w14:textId="468A4BF7" w:rsidR="00E73671" w:rsidRDefault="00E73671" w:rsidP="00E73671">
      <w:pPr>
        <w:pStyle w:val="body"/>
      </w:pPr>
      <w:r>
        <w:t>As you can see, NTAP can result in a substantial additional payment to your hospital.</w:t>
      </w:r>
      <w:r w:rsidR="006A2982">
        <w:t xml:space="preserve"> </w:t>
      </w:r>
      <w:r>
        <w:t>So how do hospitals capture the use of approved NTAP for reimbursement?</w:t>
      </w:r>
    </w:p>
    <w:p w14:paraId="707036D2" w14:textId="388C2BC3" w:rsidR="00E73671" w:rsidRDefault="00E73671" w:rsidP="00E73671">
      <w:pPr>
        <w:pStyle w:val="body"/>
      </w:pPr>
      <w:r>
        <w:t>The CMS ICD-10 Coordination and Maintenance committee created a new section in the ICD-10-PCS coding index.</w:t>
      </w:r>
      <w:r w:rsidR="006A2982">
        <w:t xml:space="preserve"> </w:t>
      </w:r>
      <w:r>
        <w:t>The ICD-10-PCS section X “New Technology” became active in 2015.</w:t>
      </w:r>
      <w:r w:rsidR="006A2982">
        <w:t xml:space="preserve"> </w:t>
      </w:r>
      <w:r>
        <w:t xml:space="preserve">This section provides a place for codes that identify procedures requested via the </w:t>
      </w:r>
      <w:r>
        <w:rPr>
          <w:iCs/>
        </w:rPr>
        <w:t>new technology application process</w:t>
      </w:r>
      <w:r w:rsidR="006A2982">
        <w:rPr>
          <w:iCs/>
        </w:rPr>
        <w:t>,</w:t>
      </w:r>
      <w:r>
        <w:t xml:space="preserve"> along with codes used to </w:t>
      </w:r>
      <w:r>
        <w:lastRenderedPageBreak/>
        <w:t xml:space="preserve">capture </w:t>
      </w:r>
      <w:r>
        <w:rPr>
          <w:i/>
          <w:iCs/>
        </w:rPr>
        <w:t>other new technologies</w:t>
      </w:r>
      <w:r>
        <w:t xml:space="preserve"> not currently classified in ICD-10-PCS.</w:t>
      </w:r>
    </w:p>
    <w:p w14:paraId="0F0BA9E6" w14:textId="77777777" w:rsidR="006A2982" w:rsidRDefault="00E73671" w:rsidP="00E73671">
      <w:pPr>
        <w:pStyle w:val="body"/>
        <w:rPr>
          <w:lang w:val="en"/>
        </w:rPr>
      </w:pPr>
      <w:r>
        <w:t>Section X codes are standalone codes which means no additional codes from other sections in ICD-10-PCS are necessary for reporting them as the specific procedure.</w:t>
      </w:r>
      <w:r w:rsidR="006A2982">
        <w:t xml:space="preserve"> </w:t>
      </w:r>
      <w:r>
        <w:rPr>
          <w:lang w:val="en"/>
        </w:rPr>
        <w:t xml:space="preserve">Section X does not introduce any new coding concepts or unusual guidelines for correct coding. In fact, Section X codes maintain continuity with the other sections in ICD-10-PCS by using the same root operation and body part values as their closest counterparts in other sections of ICD-10-PCS. </w:t>
      </w:r>
    </w:p>
    <w:p w14:paraId="1BF413B9" w14:textId="7318FE2E" w:rsidR="00E73671" w:rsidRDefault="00E73671" w:rsidP="00E73671">
      <w:pPr>
        <w:pStyle w:val="body"/>
        <w:rPr>
          <w:lang w:val="en"/>
        </w:rPr>
      </w:pPr>
      <w:r>
        <w:rPr>
          <w:lang w:val="en"/>
        </w:rPr>
        <w:t>For example, the two new codes for the infusion of ceftazidime-avibactam, a new technology antibiotic that requires unique procedure codes for October 1, 2015, use the same root operation (</w:t>
      </w:r>
      <w:r w:rsidR="006A2982">
        <w:rPr>
          <w:lang w:val="en"/>
        </w:rPr>
        <w:t>i</w:t>
      </w:r>
      <w:r>
        <w:rPr>
          <w:lang w:val="en"/>
        </w:rPr>
        <w:t>ntroduction) and body part values (</w:t>
      </w:r>
      <w:r w:rsidR="006A2982">
        <w:rPr>
          <w:lang w:val="en"/>
        </w:rPr>
        <w:t>c</w:t>
      </w:r>
      <w:r>
        <w:rPr>
          <w:lang w:val="en"/>
        </w:rPr>
        <w:t xml:space="preserve">entral </w:t>
      </w:r>
      <w:r w:rsidR="006A2982">
        <w:rPr>
          <w:lang w:val="en"/>
        </w:rPr>
        <w:t>v</w:t>
      </w:r>
      <w:r>
        <w:rPr>
          <w:lang w:val="en"/>
        </w:rPr>
        <w:t xml:space="preserve">ein and </w:t>
      </w:r>
      <w:r w:rsidR="006A2982">
        <w:rPr>
          <w:lang w:val="en"/>
        </w:rPr>
        <w:t>p</w:t>
      </w:r>
      <w:r>
        <w:rPr>
          <w:lang w:val="en"/>
        </w:rPr>
        <w:t xml:space="preserve">eripheral </w:t>
      </w:r>
      <w:r w:rsidR="006A2982">
        <w:rPr>
          <w:lang w:val="en"/>
        </w:rPr>
        <w:t>v</w:t>
      </w:r>
      <w:r>
        <w:rPr>
          <w:lang w:val="en"/>
        </w:rPr>
        <w:t xml:space="preserve">ein) in </w:t>
      </w:r>
      <w:r w:rsidR="006A2982">
        <w:rPr>
          <w:lang w:val="en"/>
        </w:rPr>
        <w:t>S</w:t>
      </w:r>
      <w:r>
        <w:rPr>
          <w:lang w:val="en"/>
        </w:rPr>
        <w:t xml:space="preserve">ection X as the infusion codes in </w:t>
      </w:r>
      <w:r w:rsidR="006A2982">
        <w:rPr>
          <w:lang w:val="en"/>
        </w:rPr>
        <w:t>S</w:t>
      </w:r>
      <w:r>
        <w:rPr>
          <w:lang w:val="en"/>
        </w:rPr>
        <w:t>ection 3</w:t>
      </w:r>
      <w:r w:rsidR="006A2982">
        <w:rPr>
          <w:lang w:val="en"/>
        </w:rPr>
        <w:t>,</w:t>
      </w:r>
      <w:r>
        <w:rPr>
          <w:lang w:val="en"/>
        </w:rPr>
        <w:t xml:space="preserve"> Administration, which are their closest counterparts in the other sections of ICD-10-PCS.</w:t>
      </w:r>
    </w:p>
    <w:p w14:paraId="7DA55660" w14:textId="5F473122" w:rsidR="00E73671" w:rsidRPr="006A2982" w:rsidRDefault="00E73671" w:rsidP="006A2982">
      <w:pPr>
        <w:pStyle w:val="body"/>
      </w:pPr>
      <w:r w:rsidRPr="006A2982">
        <w:t xml:space="preserve">But there is something different about coding in </w:t>
      </w:r>
      <w:r w:rsidR="006A2982">
        <w:t>Section</w:t>
      </w:r>
      <w:r w:rsidRPr="006A2982">
        <w:t xml:space="preserve"> X.</w:t>
      </w:r>
      <w:r w:rsidR="006A2982" w:rsidRPr="006A2982">
        <w:t xml:space="preserve"> </w:t>
      </w:r>
      <w:r w:rsidRPr="006A2982">
        <w:t xml:space="preserve">The seventh character in </w:t>
      </w:r>
      <w:r w:rsidR="006A2982">
        <w:t>S</w:t>
      </w:r>
      <w:r w:rsidRPr="006A2982">
        <w:t>ection X is used only to indicate the year the new technology group code was added. For example, Section X codes added for the first year have the seventh character value 1, New Technology Group 1, and the next year that Section X codes are added have the seventh character value 2</w:t>
      </w:r>
      <w:r w:rsidR="006A2982">
        <w:t>,</w:t>
      </w:r>
      <w:r w:rsidRPr="006A2982">
        <w:t xml:space="preserve"> New Technology Group 2, and so on. This is a much simpler use of the qualifier than in many other sections of ICD-10-PCS.</w:t>
      </w:r>
    </w:p>
    <w:p w14:paraId="4AEFAD97" w14:textId="0943D935" w:rsidR="00E73671" w:rsidRDefault="00E73671" w:rsidP="00E73671">
      <w:pPr>
        <w:pStyle w:val="body"/>
      </w:pPr>
      <w:r>
        <w:t>This unique coding of the seventh character allows CMS to collect information for three years for each of the new technologies.</w:t>
      </w:r>
      <w:r w:rsidR="006A2982">
        <w:t xml:space="preserve"> </w:t>
      </w:r>
      <w:r>
        <w:t xml:space="preserve">Once the </w:t>
      </w:r>
      <w:r w:rsidR="006A2982">
        <w:t>three-year</w:t>
      </w:r>
      <w:r>
        <w:t xml:space="preserve"> period is completed, CMS asks:</w:t>
      </w:r>
    </w:p>
    <w:p w14:paraId="67E3587D" w14:textId="222DCA71" w:rsidR="00E73671" w:rsidRDefault="00E73671" w:rsidP="00E73671">
      <w:pPr>
        <w:pStyle w:val="Bullets"/>
      </w:pPr>
      <w:r>
        <w:t xml:space="preserve">Was the procedure code related to a </w:t>
      </w:r>
      <w:r w:rsidR="006A2982">
        <w:t xml:space="preserve">NTAP </w:t>
      </w:r>
      <w:r>
        <w:t xml:space="preserve">application? </w:t>
      </w:r>
    </w:p>
    <w:p w14:paraId="17C69D10" w14:textId="77777777" w:rsidR="00E73671" w:rsidRDefault="00E73671" w:rsidP="00E73671">
      <w:pPr>
        <w:pStyle w:val="Bullets"/>
      </w:pPr>
      <w:r>
        <w:t xml:space="preserve">If yes, was the technology approved for the NTAP? </w:t>
      </w:r>
    </w:p>
    <w:p w14:paraId="398426A3" w14:textId="3267A8B3" w:rsidR="00E73671" w:rsidRDefault="00E73671" w:rsidP="00E73671">
      <w:pPr>
        <w:pStyle w:val="Bullets"/>
      </w:pPr>
      <w:r>
        <w:t xml:space="preserve">What is the frequency (total number of cases) of this procedure code as reported in the data for FYs over the </w:t>
      </w:r>
      <w:r w:rsidR="006A2982">
        <w:t>three-</w:t>
      </w:r>
      <w:r>
        <w:t>year period?</w:t>
      </w:r>
    </w:p>
    <w:p w14:paraId="4D82C916" w14:textId="77777777" w:rsidR="00E73671" w:rsidRDefault="00E73671" w:rsidP="00E73671">
      <w:pPr>
        <w:rPr>
          <w:rFonts w:ascii="Arial" w:hAnsi="Arial" w:cs="Arial"/>
        </w:rPr>
      </w:pPr>
    </w:p>
    <w:p w14:paraId="1DCAFB0E" w14:textId="1088F678" w:rsidR="00E73671" w:rsidRDefault="00E73671" w:rsidP="00E73671">
      <w:pPr>
        <w:pStyle w:val="body"/>
      </w:pPr>
      <w:r>
        <w:t xml:space="preserve">That last </w:t>
      </w:r>
      <w:r w:rsidR="006A2982">
        <w:t>question</w:t>
      </w:r>
      <w:r>
        <w:t xml:space="preserve"> is where CDI and coding play an important role in determining the impact of NTAP.</w:t>
      </w:r>
      <w:r w:rsidR="006A2982">
        <w:t xml:space="preserve"> </w:t>
      </w:r>
      <w:r>
        <w:t xml:space="preserve">If the code is not captured when NTAP is </w:t>
      </w:r>
      <w:r w:rsidR="006A2982">
        <w:t>used,</w:t>
      </w:r>
      <w:r>
        <w:t xml:space="preserve"> then the data submitted to CMS will be inaccurate.</w:t>
      </w:r>
      <w:r w:rsidR="006A2982">
        <w:t xml:space="preserve"> </w:t>
      </w:r>
      <w:r>
        <w:t xml:space="preserve">This will have a significant impact on both the financial health of your hospital and </w:t>
      </w:r>
      <w:r w:rsidR="006A2982">
        <w:t xml:space="preserve">the </w:t>
      </w:r>
      <w:r>
        <w:t>future of patient care.</w:t>
      </w:r>
    </w:p>
    <w:p w14:paraId="2AD3E2CF" w14:textId="313134FC" w:rsidR="00E73671" w:rsidRPr="00E73671" w:rsidRDefault="00E73671" w:rsidP="00E73671">
      <w:pPr>
        <w:pStyle w:val="body"/>
        <w:rPr>
          <w:color w:val="auto"/>
        </w:rPr>
      </w:pPr>
      <w:r>
        <w:rPr>
          <w:color w:val="auto"/>
        </w:rPr>
        <w:t>Based on review of the data and the clinical aspects of each procedure code, CMS will propose one of the options below:</w:t>
      </w:r>
    </w:p>
    <w:p w14:paraId="1DB0DE84" w14:textId="300DF306" w:rsidR="00E73671" w:rsidRDefault="00E73671" w:rsidP="00E73671">
      <w:pPr>
        <w:pStyle w:val="Bullets"/>
      </w:pPr>
      <w:r>
        <w:t>Leave the code in Section X (e.g. procedure codes related to the administration of a specific medication)</w:t>
      </w:r>
      <w:r w:rsidR="006A2982">
        <w:t>.</w:t>
      </w:r>
    </w:p>
    <w:p w14:paraId="25553417" w14:textId="76460F2F" w:rsidR="00E73671" w:rsidRDefault="00E73671" w:rsidP="00E73671">
      <w:pPr>
        <w:pStyle w:val="Bullets"/>
      </w:pPr>
      <w:r>
        <w:t xml:space="preserve">Reassign the code to the </w:t>
      </w:r>
      <w:r w:rsidR="006A2982">
        <w:t>medical/surgical</w:t>
      </w:r>
      <w:r>
        <w:t xml:space="preserve"> section of ICD-10-PCS and delete from Section X (e.g. NTAP has expired, data analysis and clinical review justifies incorporating this technology/procedure into the main </w:t>
      </w:r>
      <w:r w:rsidR="006A2982">
        <w:t xml:space="preserve">medical/surgical </w:t>
      </w:r>
      <w:r>
        <w:t>section)</w:t>
      </w:r>
      <w:r w:rsidR="006A2982">
        <w:t>.</w:t>
      </w:r>
    </w:p>
    <w:p w14:paraId="50BC0A6E" w14:textId="61A66B8F" w:rsidR="00E73671" w:rsidRDefault="00E73671" w:rsidP="00E73671">
      <w:pPr>
        <w:pStyle w:val="Bullets"/>
      </w:pPr>
      <w:r>
        <w:t>Delete the Section X code (e.g. the procedure is not reported as anticipated in the data, therefore the absence of a unique code for this technology/procedure in the classification has minimal impact)</w:t>
      </w:r>
      <w:r w:rsidR="006A2982">
        <w:t>.</w:t>
      </w:r>
    </w:p>
    <w:p w14:paraId="58E90104" w14:textId="77777777" w:rsidR="00E73671" w:rsidRDefault="00E73671" w:rsidP="00E73671">
      <w:pPr>
        <w:pStyle w:val="Default"/>
        <w:ind w:left="720"/>
        <w:rPr>
          <w:rFonts w:ascii="Arial" w:hAnsi="Arial" w:cs="Arial"/>
          <w:color w:val="auto"/>
        </w:rPr>
      </w:pPr>
    </w:p>
    <w:p w14:paraId="7DD8D53C" w14:textId="519A65A2" w:rsidR="00E73671" w:rsidRDefault="00E73671" w:rsidP="00E73671">
      <w:pPr>
        <w:pStyle w:val="body"/>
        <w:rPr>
          <w:color w:val="auto"/>
        </w:rPr>
      </w:pPr>
      <w:r>
        <w:t xml:space="preserve">CMS just completed the first </w:t>
      </w:r>
      <w:r w:rsidR="006A2982">
        <w:t>three-</w:t>
      </w:r>
      <w:r>
        <w:t>year review (FY 2016, 2017, 2018) of the new technology codes.</w:t>
      </w:r>
      <w:r w:rsidR="006A2982">
        <w:t xml:space="preserve"> </w:t>
      </w:r>
      <w:r>
        <w:t xml:space="preserve">These are their recommendations for ICD-10-PCS </w:t>
      </w:r>
      <w:r w:rsidR="006A2982">
        <w:t>S</w:t>
      </w:r>
      <w:r>
        <w:t xml:space="preserve">ection X </w:t>
      </w:r>
      <w:r w:rsidR="006A2982">
        <w:t>n</w:t>
      </w:r>
      <w:r>
        <w:t xml:space="preserve">ew </w:t>
      </w:r>
      <w:r w:rsidR="006A2982">
        <w:t>t</w:t>
      </w:r>
      <w:r>
        <w:t>echnologies after review:</w:t>
      </w:r>
    </w:p>
    <w:p w14:paraId="02795663" w14:textId="77777777" w:rsidR="00E73671" w:rsidRDefault="00E73671" w:rsidP="00E73671">
      <w:pPr>
        <w:pStyle w:val="Bullets"/>
        <w:rPr>
          <w:lang w:val="en-GB"/>
        </w:rPr>
      </w:pPr>
      <w:r>
        <w:rPr>
          <w:lang w:val="en-GB"/>
        </w:rPr>
        <w:t>For FY 2020, CMS proposed to continue 10 of 13 technologies receiving NTAP in FY 2019.</w:t>
      </w:r>
    </w:p>
    <w:p w14:paraId="03F3C38C" w14:textId="77777777" w:rsidR="00E73671" w:rsidRDefault="00E73671" w:rsidP="00E73671">
      <w:pPr>
        <w:pStyle w:val="Bullets"/>
        <w:rPr>
          <w:lang w:val="en-GB"/>
        </w:rPr>
      </w:pPr>
      <w:r>
        <w:rPr>
          <w:lang w:val="en-GB"/>
        </w:rPr>
        <w:t>The remaining 3 of 13 technologies receiving NTAP in FY 2019 were no longer considered “new” and have been discontinued for FY 2020.</w:t>
      </w:r>
    </w:p>
    <w:p w14:paraId="39A19273" w14:textId="2B39C5C7" w:rsidR="00E73671" w:rsidRDefault="00E73671" w:rsidP="00E73671">
      <w:pPr>
        <w:pStyle w:val="Bullets"/>
        <w:rPr>
          <w:lang w:val="en-GB"/>
        </w:rPr>
      </w:pPr>
      <w:r>
        <w:rPr>
          <w:lang w:val="en-GB"/>
        </w:rPr>
        <w:t>There were 17 new applicants for new technology add-on payment for FY 2020</w:t>
      </w:r>
      <w:r w:rsidR="006A2982">
        <w:rPr>
          <w:lang w:val="en-GB"/>
        </w:rPr>
        <w:t>.</w:t>
      </w:r>
    </w:p>
    <w:p w14:paraId="067C2648" w14:textId="77777777" w:rsidR="00E73671" w:rsidRDefault="00E73671" w:rsidP="00E73671">
      <w:pPr>
        <w:pStyle w:val="Bullets"/>
        <w:rPr>
          <w:lang w:val="en-GB"/>
        </w:rPr>
      </w:pPr>
      <w:r>
        <w:rPr>
          <w:lang w:val="en-GB"/>
        </w:rPr>
        <w:t>Eight of the 17 new applicants discussed in the proposed rule either withdrew their application, did not receive FDA approval by the deadline of July 1 or after evaluation CMS found they did not meet the criteria to be considered a new technology.</w:t>
      </w:r>
    </w:p>
    <w:p w14:paraId="0633F503" w14:textId="797E979D" w:rsidR="00E73671" w:rsidRDefault="00E73671" w:rsidP="006A2982">
      <w:pPr>
        <w:pStyle w:val="Bullets"/>
        <w:rPr>
          <w:lang w:val="en-GB"/>
        </w:rPr>
      </w:pPr>
      <w:r>
        <w:rPr>
          <w:lang w:val="en-GB"/>
        </w:rPr>
        <w:t xml:space="preserve">Effective October 1, 2019, there will be 19 </w:t>
      </w:r>
      <w:r w:rsidR="006A2982">
        <w:rPr>
          <w:lang w:val="en-GB"/>
        </w:rPr>
        <w:t>n</w:t>
      </w:r>
      <w:r>
        <w:rPr>
          <w:lang w:val="en-GB"/>
        </w:rPr>
        <w:t xml:space="preserve">ew </w:t>
      </w:r>
      <w:r w:rsidR="006A2982">
        <w:rPr>
          <w:lang w:val="en-GB"/>
        </w:rPr>
        <w:t>t</w:t>
      </w:r>
      <w:r>
        <w:rPr>
          <w:lang w:val="en-GB"/>
        </w:rPr>
        <w:t xml:space="preserve">echnologies eligible for </w:t>
      </w:r>
      <w:r w:rsidR="006A2982">
        <w:rPr>
          <w:lang w:val="en-GB"/>
        </w:rPr>
        <w:t>a</w:t>
      </w:r>
      <w:r>
        <w:rPr>
          <w:lang w:val="en-GB"/>
        </w:rPr>
        <w:t>dd-</w:t>
      </w:r>
      <w:r w:rsidR="006A2982">
        <w:rPr>
          <w:lang w:val="en-GB"/>
        </w:rPr>
        <w:t>o</w:t>
      </w:r>
      <w:r>
        <w:rPr>
          <w:lang w:val="en-GB"/>
        </w:rPr>
        <w:t xml:space="preserve">n </w:t>
      </w:r>
      <w:r w:rsidR="006A2982">
        <w:rPr>
          <w:lang w:val="en-GB"/>
        </w:rPr>
        <w:t>p</w:t>
      </w:r>
      <w:r>
        <w:rPr>
          <w:lang w:val="en-GB"/>
        </w:rPr>
        <w:t>ayments</w:t>
      </w:r>
      <w:r w:rsidR="006A2982">
        <w:rPr>
          <w:lang w:val="en-GB"/>
        </w:rPr>
        <w:t>.</w:t>
      </w:r>
    </w:p>
    <w:p w14:paraId="088B5594" w14:textId="77777777" w:rsidR="006A2982" w:rsidRPr="006A2982" w:rsidRDefault="006A2982" w:rsidP="006A2982">
      <w:pPr>
        <w:pStyle w:val="body"/>
        <w:rPr>
          <w:lang w:val="en-GB"/>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4488"/>
        <w:gridCol w:w="2507"/>
      </w:tblGrid>
      <w:tr w:rsidR="00E73671" w14:paraId="7C665B62" w14:textId="77777777" w:rsidTr="00E73671">
        <w:tc>
          <w:tcPr>
            <w:tcW w:w="1813" w:type="pct"/>
            <w:hideMark/>
          </w:tcPr>
          <w:p w14:paraId="124B3A00" w14:textId="77777777" w:rsidR="00E73671" w:rsidRPr="00E73671" w:rsidRDefault="00E73671" w:rsidP="00E73671">
            <w:pPr>
              <w:pStyle w:val="body"/>
              <w:rPr>
                <w:rStyle w:val="Bold"/>
              </w:rPr>
            </w:pPr>
            <w:r w:rsidRPr="00E73671">
              <w:rPr>
                <w:rStyle w:val="Bold"/>
              </w:rPr>
              <w:t>Medical Service or Technology</w:t>
            </w:r>
          </w:p>
        </w:tc>
        <w:tc>
          <w:tcPr>
            <w:tcW w:w="2024" w:type="pct"/>
            <w:hideMark/>
          </w:tcPr>
          <w:p w14:paraId="6AFCD788" w14:textId="77777777" w:rsidR="00E73671" w:rsidRPr="00E73671" w:rsidRDefault="00E73671" w:rsidP="00E73671">
            <w:pPr>
              <w:pStyle w:val="body"/>
              <w:rPr>
                <w:rStyle w:val="Bold"/>
              </w:rPr>
            </w:pPr>
            <w:r w:rsidRPr="00E73671">
              <w:rPr>
                <w:rStyle w:val="Bold"/>
              </w:rPr>
              <w:t>Estimated Amount NTAP will Increase Overall 2020 Payments by</w:t>
            </w:r>
          </w:p>
        </w:tc>
        <w:tc>
          <w:tcPr>
            <w:tcW w:w="1098" w:type="pct"/>
            <w:hideMark/>
          </w:tcPr>
          <w:p w14:paraId="00E56BD4" w14:textId="77777777" w:rsidR="00E73671" w:rsidRPr="00E73671" w:rsidRDefault="00E73671" w:rsidP="00E73671">
            <w:pPr>
              <w:pStyle w:val="body"/>
              <w:rPr>
                <w:rStyle w:val="Bold"/>
              </w:rPr>
            </w:pPr>
            <w:r w:rsidRPr="00E73671">
              <w:rPr>
                <w:rStyle w:val="Bold"/>
              </w:rPr>
              <w:t>Estimated Number of Patients</w:t>
            </w:r>
          </w:p>
        </w:tc>
      </w:tr>
      <w:tr w:rsidR="00E73671" w14:paraId="0ADFC0CA" w14:textId="77777777" w:rsidTr="00E73671">
        <w:tc>
          <w:tcPr>
            <w:tcW w:w="1813" w:type="pct"/>
            <w:hideMark/>
          </w:tcPr>
          <w:p w14:paraId="7DCCC7B8" w14:textId="77777777" w:rsidR="00E73671" w:rsidRDefault="00E73671" w:rsidP="00E73671">
            <w:pPr>
              <w:pStyle w:val="body"/>
            </w:pPr>
            <w:r>
              <w:lastRenderedPageBreak/>
              <w:t>KYMRIAH® &amp; YESCARTA®</w:t>
            </w:r>
          </w:p>
        </w:tc>
        <w:tc>
          <w:tcPr>
            <w:tcW w:w="2024" w:type="pct"/>
            <w:hideMark/>
          </w:tcPr>
          <w:p w14:paraId="3416D2A8" w14:textId="77777777" w:rsidR="00E73671" w:rsidRDefault="00E73671" w:rsidP="00E73671">
            <w:pPr>
              <w:pStyle w:val="body"/>
            </w:pPr>
            <w:r>
              <w:t>$93,585,700</w:t>
            </w:r>
          </w:p>
        </w:tc>
        <w:tc>
          <w:tcPr>
            <w:tcW w:w="1098" w:type="pct"/>
            <w:hideMark/>
          </w:tcPr>
          <w:p w14:paraId="6A9C57C3" w14:textId="77777777" w:rsidR="00E73671" w:rsidRDefault="00E73671" w:rsidP="00E73671">
            <w:pPr>
              <w:pStyle w:val="body"/>
            </w:pPr>
            <w:r>
              <w:t>386</w:t>
            </w:r>
          </w:p>
        </w:tc>
      </w:tr>
      <w:tr w:rsidR="00E73671" w14:paraId="76C8A2D8" w14:textId="77777777" w:rsidTr="00E73671">
        <w:tc>
          <w:tcPr>
            <w:tcW w:w="1813" w:type="pct"/>
            <w:hideMark/>
          </w:tcPr>
          <w:p w14:paraId="44F3BCE8" w14:textId="77777777" w:rsidR="00E73671" w:rsidRDefault="00E73671" w:rsidP="00E73671">
            <w:pPr>
              <w:pStyle w:val="body"/>
            </w:pPr>
            <w:r>
              <w:t>VYXEOS™</w:t>
            </w:r>
          </w:p>
        </w:tc>
        <w:tc>
          <w:tcPr>
            <w:tcW w:w="2024" w:type="pct"/>
            <w:hideMark/>
          </w:tcPr>
          <w:p w14:paraId="55A2DA9C" w14:textId="77777777" w:rsidR="00E73671" w:rsidRDefault="00E73671" w:rsidP="00E73671">
            <w:pPr>
              <w:pStyle w:val="body"/>
            </w:pPr>
            <w:r>
              <w:t>$45,458,400</w:t>
            </w:r>
          </w:p>
        </w:tc>
        <w:tc>
          <w:tcPr>
            <w:tcW w:w="1098" w:type="pct"/>
            <w:hideMark/>
          </w:tcPr>
          <w:p w14:paraId="63A973B4" w14:textId="77777777" w:rsidR="00E73671" w:rsidRDefault="00E73671" w:rsidP="00E73671">
            <w:pPr>
              <w:pStyle w:val="body"/>
            </w:pPr>
            <w:r>
              <w:t>960</w:t>
            </w:r>
          </w:p>
        </w:tc>
      </w:tr>
      <w:tr w:rsidR="00E73671" w14:paraId="258F1F31" w14:textId="77777777" w:rsidTr="00E73671">
        <w:tc>
          <w:tcPr>
            <w:tcW w:w="1813" w:type="pct"/>
            <w:hideMark/>
          </w:tcPr>
          <w:p w14:paraId="0A1C2C3D" w14:textId="77777777" w:rsidR="00E73671" w:rsidRDefault="00E73671" w:rsidP="00E73671">
            <w:pPr>
              <w:pStyle w:val="body"/>
            </w:pPr>
            <w:r>
              <w:t>VABOMERE™ (Meropenem-Vaborbactam)</w:t>
            </w:r>
          </w:p>
        </w:tc>
        <w:tc>
          <w:tcPr>
            <w:tcW w:w="2024" w:type="pct"/>
            <w:hideMark/>
          </w:tcPr>
          <w:p w14:paraId="75D9C5B2" w14:textId="77777777" w:rsidR="00E73671" w:rsidRDefault="00E73671" w:rsidP="00E73671">
            <w:pPr>
              <w:pStyle w:val="body"/>
            </w:pPr>
            <w:r>
              <w:t>$22,020,768</w:t>
            </w:r>
          </w:p>
        </w:tc>
        <w:tc>
          <w:tcPr>
            <w:tcW w:w="1098" w:type="pct"/>
            <w:hideMark/>
          </w:tcPr>
          <w:p w14:paraId="3E823DF1" w14:textId="77777777" w:rsidR="00E73671" w:rsidRDefault="00E73671" w:rsidP="00E73671">
            <w:pPr>
              <w:pStyle w:val="body"/>
            </w:pPr>
            <w:r>
              <w:t>2,648</w:t>
            </w:r>
          </w:p>
        </w:tc>
      </w:tr>
      <w:tr w:rsidR="00E73671" w14:paraId="14AB664F" w14:textId="77777777" w:rsidTr="00E73671">
        <w:tc>
          <w:tcPr>
            <w:tcW w:w="1813" w:type="pct"/>
            <w:hideMark/>
          </w:tcPr>
          <w:p w14:paraId="7EAC7011" w14:textId="77777777" w:rsidR="00E73671" w:rsidRDefault="00E73671" w:rsidP="00E73671">
            <w:pPr>
              <w:pStyle w:val="body"/>
            </w:pPr>
            <w:r>
              <w:t>Remed</w:t>
            </w:r>
            <w:r>
              <w:rPr>
                <w:rFonts w:ascii="Calibri" w:hAnsi="Calibri" w:cs="Calibri"/>
              </w:rPr>
              <w:t>ē</w:t>
            </w:r>
            <w:r>
              <w:rPr>
                <w:rFonts w:cs="HelveticaNeueLT Std Lt"/>
              </w:rPr>
              <w:t>®</w:t>
            </w:r>
            <w:r>
              <w:t xml:space="preserve"> System</w:t>
            </w:r>
          </w:p>
        </w:tc>
        <w:tc>
          <w:tcPr>
            <w:tcW w:w="2024" w:type="pct"/>
            <w:hideMark/>
          </w:tcPr>
          <w:p w14:paraId="38543124" w14:textId="77777777" w:rsidR="00E73671" w:rsidRDefault="00E73671" w:rsidP="00E73671">
            <w:pPr>
              <w:pStyle w:val="body"/>
            </w:pPr>
            <w:r>
              <w:t>$1,794,000</w:t>
            </w:r>
          </w:p>
        </w:tc>
        <w:tc>
          <w:tcPr>
            <w:tcW w:w="1098" w:type="pct"/>
            <w:hideMark/>
          </w:tcPr>
          <w:p w14:paraId="10EDFA63" w14:textId="77777777" w:rsidR="00E73671" w:rsidRDefault="00E73671" w:rsidP="00E73671">
            <w:pPr>
              <w:pStyle w:val="body"/>
            </w:pPr>
            <w:r>
              <w:t>80</w:t>
            </w:r>
          </w:p>
        </w:tc>
      </w:tr>
      <w:tr w:rsidR="00E73671" w14:paraId="71BE6987" w14:textId="77777777" w:rsidTr="00E73671">
        <w:tc>
          <w:tcPr>
            <w:tcW w:w="1813" w:type="pct"/>
            <w:hideMark/>
          </w:tcPr>
          <w:p w14:paraId="0E809CF9" w14:textId="77777777" w:rsidR="00E73671" w:rsidRDefault="00E73671" w:rsidP="00E73671">
            <w:pPr>
              <w:pStyle w:val="body"/>
            </w:pPr>
            <w:r>
              <w:t>ZEMDRI™ (Plazomicin)</w:t>
            </w:r>
          </w:p>
        </w:tc>
        <w:tc>
          <w:tcPr>
            <w:tcW w:w="2024" w:type="pct"/>
            <w:hideMark/>
          </w:tcPr>
          <w:p w14:paraId="7712BFBD" w14:textId="77777777" w:rsidR="00E73671" w:rsidRDefault="00E73671" w:rsidP="00E73671">
            <w:pPr>
              <w:pStyle w:val="body"/>
            </w:pPr>
            <w:r>
              <w:t>$10,209,375</w:t>
            </w:r>
          </w:p>
        </w:tc>
        <w:tc>
          <w:tcPr>
            <w:tcW w:w="1098" w:type="pct"/>
            <w:hideMark/>
          </w:tcPr>
          <w:p w14:paraId="2552BA36" w14:textId="77777777" w:rsidR="00E73671" w:rsidRDefault="00E73671" w:rsidP="00E73671">
            <w:pPr>
              <w:pStyle w:val="body"/>
            </w:pPr>
            <w:r>
              <w:t>2,500</w:t>
            </w:r>
          </w:p>
        </w:tc>
      </w:tr>
      <w:tr w:rsidR="00E73671" w14:paraId="4F7E9E8B" w14:textId="77777777" w:rsidTr="00E73671">
        <w:tc>
          <w:tcPr>
            <w:tcW w:w="1813" w:type="pct"/>
            <w:hideMark/>
          </w:tcPr>
          <w:p w14:paraId="30E35DEC" w14:textId="77777777" w:rsidR="00E73671" w:rsidRDefault="00E73671" w:rsidP="00E73671">
            <w:pPr>
              <w:pStyle w:val="body"/>
            </w:pPr>
            <w:r>
              <w:t>GIAPREZA™</w:t>
            </w:r>
          </w:p>
        </w:tc>
        <w:tc>
          <w:tcPr>
            <w:tcW w:w="2024" w:type="pct"/>
            <w:hideMark/>
          </w:tcPr>
          <w:p w14:paraId="1D970692" w14:textId="77777777" w:rsidR="00E73671" w:rsidRDefault="00E73671" w:rsidP="00E73671">
            <w:pPr>
              <w:pStyle w:val="body"/>
            </w:pPr>
            <w:r>
              <w:t>$11,173,500</w:t>
            </w:r>
          </w:p>
        </w:tc>
        <w:tc>
          <w:tcPr>
            <w:tcW w:w="1098" w:type="pct"/>
            <w:hideMark/>
          </w:tcPr>
          <w:p w14:paraId="45E3CEBA" w14:textId="77777777" w:rsidR="00E73671" w:rsidRDefault="00E73671" w:rsidP="00E73671">
            <w:pPr>
              <w:pStyle w:val="body"/>
            </w:pPr>
            <w:r>
              <w:t>5,730</w:t>
            </w:r>
          </w:p>
        </w:tc>
      </w:tr>
      <w:tr w:rsidR="00E73671" w14:paraId="26E492F6" w14:textId="77777777" w:rsidTr="00E73671">
        <w:tc>
          <w:tcPr>
            <w:tcW w:w="1813" w:type="pct"/>
            <w:hideMark/>
          </w:tcPr>
          <w:p w14:paraId="479526B1" w14:textId="77777777" w:rsidR="00E73671" w:rsidRDefault="00E73671" w:rsidP="00E73671">
            <w:pPr>
              <w:pStyle w:val="body"/>
            </w:pPr>
            <w:r>
              <w:t>Sentinel® Cerebral Protection System</w:t>
            </w:r>
          </w:p>
        </w:tc>
        <w:tc>
          <w:tcPr>
            <w:tcW w:w="2024" w:type="pct"/>
            <w:hideMark/>
          </w:tcPr>
          <w:p w14:paraId="3FFA393B" w14:textId="77777777" w:rsidR="00E73671" w:rsidRDefault="00E73671" w:rsidP="00E73671">
            <w:pPr>
              <w:pStyle w:val="body"/>
            </w:pPr>
            <w:r>
              <w:t>$11,830,000</w:t>
            </w:r>
          </w:p>
        </w:tc>
        <w:tc>
          <w:tcPr>
            <w:tcW w:w="1098" w:type="pct"/>
            <w:hideMark/>
          </w:tcPr>
          <w:p w14:paraId="7D72599B" w14:textId="77777777" w:rsidR="00E73671" w:rsidRDefault="00E73671" w:rsidP="00E73671">
            <w:pPr>
              <w:pStyle w:val="body"/>
            </w:pPr>
            <w:r>
              <w:t>6,500</w:t>
            </w:r>
          </w:p>
        </w:tc>
      </w:tr>
      <w:tr w:rsidR="00E73671" w14:paraId="04BE30D4" w14:textId="77777777" w:rsidTr="00E73671">
        <w:tc>
          <w:tcPr>
            <w:tcW w:w="1813" w:type="pct"/>
            <w:hideMark/>
          </w:tcPr>
          <w:p w14:paraId="29E6A064" w14:textId="77777777" w:rsidR="00E73671" w:rsidRDefault="00E73671" w:rsidP="00E73671">
            <w:pPr>
              <w:pStyle w:val="body"/>
            </w:pPr>
            <w:r>
              <w:t>AQUABEAM System (Aquablation)</w:t>
            </w:r>
          </w:p>
        </w:tc>
        <w:tc>
          <w:tcPr>
            <w:tcW w:w="2024" w:type="pct"/>
            <w:hideMark/>
          </w:tcPr>
          <w:p w14:paraId="0FA3D893" w14:textId="77777777" w:rsidR="00E73671" w:rsidRDefault="00E73671" w:rsidP="00E73671">
            <w:pPr>
              <w:pStyle w:val="body"/>
            </w:pPr>
            <w:r>
              <w:t>$677,625</w:t>
            </w:r>
          </w:p>
        </w:tc>
        <w:tc>
          <w:tcPr>
            <w:tcW w:w="1098" w:type="pct"/>
            <w:hideMark/>
          </w:tcPr>
          <w:p w14:paraId="1BB83461" w14:textId="77777777" w:rsidR="00E73671" w:rsidRDefault="00E73671" w:rsidP="00E73671">
            <w:pPr>
              <w:pStyle w:val="body"/>
            </w:pPr>
            <w:r>
              <w:t>417</w:t>
            </w:r>
          </w:p>
        </w:tc>
      </w:tr>
      <w:tr w:rsidR="00E73671" w14:paraId="2A2B8570" w14:textId="77777777" w:rsidTr="00E73671">
        <w:tc>
          <w:tcPr>
            <w:tcW w:w="1813" w:type="pct"/>
            <w:hideMark/>
          </w:tcPr>
          <w:p w14:paraId="0F63E25A" w14:textId="77777777" w:rsidR="00E73671" w:rsidRDefault="00E73671" w:rsidP="00E73671">
            <w:pPr>
              <w:pStyle w:val="body"/>
            </w:pPr>
            <w:r>
              <w:t>AndexXa™ (Andexanet alfa)</w:t>
            </w:r>
          </w:p>
        </w:tc>
        <w:tc>
          <w:tcPr>
            <w:tcW w:w="2024" w:type="pct"/>
            <w:hideMark/>
          </w:tcPr>
          <w:p w14:paraId="05EF460E" w14:textId="77777777" w:rsidR="00E73671" w:rsidRDefault="00E73671" w:rsidP="00E73671">
            <w:pPr>
              <w:pStyle w:val="body"/>
            </w:pPr>
            <w:r>
              <w:t>$98,755,313</w:t>
            </w:r>
          </w:p>
        </w:tc>
        <w:tc>
          <w:tcPr>
            <w:tcW w:w="1098" w:type="pct"/>
            <w:hideMark/>
          </w:tcPr>
          <w:p w14:paraId="475F32C5" w14:textId="77777777" w:rsidR="00E73671" w:rsidRDefault="00E73671" w:rsidP="00E73671">
            <w:pPr>
              <w:pStyle w:val="body"/>
            </w:pPr>
            <w:r>
              <w:t>5,402</w:t>
            </w:r>
          </w:p>
        </w:tc>
      </w:tr>
      <w:tr w:rsidR="00E73671" w14:paraId="53DBBE0C" w14:textId="77777777" w:rsidTr="00E73671">
        <w:tc>
          <w:tcPr>
            <w:tcW w:w="1813" w:type="pct"/>
            <w:hideMark/>
          </w:tcPr>
          <w:p w14:paraId="62AAD34E" w14:textId="77777777" w:rsidR="00E73671" w:rsidRDefault="00E73671" w:rsidP="00E73671">
            <w:pPr>
              <w:pStyle w:val="body"/>
            </w:pPr>
            <w:r>
              <w:t>AZEDRA® (Ultratrace® iobenguane Iodine-131) Solution</w:t>
            </w:r>
          </w:p>
        </w:tc>
        <w:tc>
          <w:tcPr>
            <w:tcW w:w="2024" w:type="pct"/>
            <w:hideMark/>
          </w:tcPr>
          <w:p w14:paraId="4E794B53" w14:textId="77777777" w:rsidR="00E73671" w:rsidRDefault="00E73671" w:rsidP="00E73671">
            <w:pPr>
              <w:pStyle w:val="body"/>
            </w:pPr>
            <w:r>
              <w:t>$39,260,000</w:t>
            </w:r>
          </w:p>
        </w:tc>
        <w:tc>
          <w:tcPr>
            <w:tcW w:w="1098" w:type="pct"/>
            <w:hideMark/>
          </w:tcPr>
          <w:p w14:paraId="1E4B8FE3" w14:textId="77777777" w:rsidR="00E73671" w:rsidRDefault="00E73671" w:rsidP="00E73671">
            <w:pPr>
              <w:pStyle w:val="body"/>
            </w:pPr>
            <w:r>
              <w:t>400</w:t>
            </w:r>
          </w:p>
        </w:tc>
      </w:tr>
      <w:tr w:rsidR="00E73671" w14:paraId="01485BA0" w14:textId="77777777" w:rsidTr="00E73671">
        <w:tc>
          <w:tcPr>
            <w:tcW w:w="1813" w:type="pct"/>
            <w:hideMark/>
          </w:tcPr>
          <w:p w14:paraId="3016B03F" w14:textId="77777777" w:rsidR="00E73671" w:rsidRDefault="00E73671" w:rsidP="00E73671">
            <w:pPr>
              <w:pStyle w:val="body"/>
            </w:pPr>
            <w:r>
              <w:t>CABLIVI® (caplacizumab-yhdp)</w:t>
            </w:r>
          </w:p>
        </w:tc>
        <w:tc>
          <w:tcPr>
            <w:tcW w:w="2024" w:type="pct"/>
            <w:hideMark/>
          </w:tcPr>
          <w:p w14:paraId="71742B37" w14:textId="77777777" w:rsidR="00E73671" w:rsidRDefault="00E73671" w:rsidP="00E73671">
            <w:pPr>
              <w:pStyle w:val="body"/>
            </w:pPr>
            <w:r>
              <w:t>$4,351,165</w:t>
            </w:r>
          </w:p>
        </w:tc>
        <w:tc>
          <w:tcPr>
            <w:tcW w:w="1098" w:type="pct"/>
            <w:hideMark/>
          </w:tcPr>
          <w:p w14:paraId="10AABE04" w14:textId="77777777" w:rsidR="00E73671" w:rsidRDefault="00E73671" w:rsidP="00E73671">
            <w:pPr>
              <w:pStyle w:val="body"/>
            </w:pPr>
            <w:r>
              <w:t>131</w:t>
            </w:r>
          </w:p>
        </w:tc>
      </w:tr>
      <w:tr w:rsidR="00E73671" w14:paraId="6D172804" w14:textId="77777777" w:rsidTr="00E73671">
        <w:tc>
          <w:tcPr>
            <w:tcW w:w="1813" w:type="pct"/>
            <w:hideMark/>
          </w:tcPr>
          <w:p w14:paraId="4FEFB721" w14:textId="77777777" w:rsidR="00E73671" w:rsidRDefault="00E73671" w:rsidP="00E73671">
            <w:pPr>
              <w:pStyle w:val="body"/>
            </w:pPr>
            <w:r>
              <w:t>ELZONRIS™ (tagraxofusp, SL-401)</w:t>
            </w:r>
          </w:p>
        </w:tc>
        <w:tc>
          <w:tcPr>
            <w:tcW w:w="2024" w:type="pct"/>
            <w:hideMark/>
          </w:tcPr>
          <w:p w14:paraId="3A515B0F" w14:textId="77777777" w:rsidR="00E73671" w:rsidRDefault="00E73671" w:rsidP="00E73671">
            <w:pPr>
              <w:pStyle w:val="body"/>
            </w:pPr>
            <w:r>
              <w:t>$30,985,668</w:t>
            </w:r>
          </w:p>
        </w:tc>
        <w:tc>
          <w:tcPr>
            <w:tcW w:w="1098" w:type="pct"/>
            <w:hideMark/>
          </w:tcPr>
          <w:p w14:paraId="5E1F2D3B" w14:textId="77777777" w:rsidR="00E73671" w:rsidRDefault="00E73671" w:rsidP="00E73671">
            <w:pPr>
              <w:pStyle w:val="body"/>
            </w:pPr>
            <w:r>
              <w:t>247</w:t>
            </w:r>
          </w:p>
        </w:tc>
      </w:tr>
      <w:tr w:rsidR="00E73671" w14:paraId="26BA433B" w14:textId="77777777" w:rsidTr="00E73671">
        <w:tc>
          <w:tcPr>
            <w:tcW w:w="1813" w:type="pct"/>
            <w:hideMark/>
          </w:tcPr>
          <w:p w14:paraId="2C671DC3" w14:textId="77777777" w:rsidR="00E73671" w:rsidRDefault="00E73671" w:rsidP="00E73671">
            <w:pPr>
              <w:pStyle w:val="body"/>
            </w:pPr>
            <w:r>
              <w:t>Balversa™ (Erdafitinib)</w:t>
            </w:r>
          </w:p>
        </w:tc>
        <w:tc>
          <w:tcPr>
            <w:tcW w:w="2024" w:type="pct"/>
            <w:hideMark/>
          </w:tcPr>
          <w:p w14:paraId="0AED8282" w14:textId="77777777" w:rsidR="00E73671" w:rsidRDefault="00E73671" w:rsidP="00E73671">
            <w:pPr>
              <w:pStyle w:val="body"/>
            </w:pPr>
            <w:r>
              <w:t>$178,162</w:t>
            </w:r>
          </w:p>
        </w:tc>
        <w:tc>
          <w:tcPr>
            <w:tcW w:w="1098" w:type="pct"/>
            <w:hideMark/>
          </w:tcPr>
          <w:p w14:paraId="54B45F56" w14:textId="77777777" w:rsidR="00E73671" w:rsidRDefault="00E73671" w:rsidP="00E73671">
            <w:pPr>
              <w:pStyle w:val="body"/>
            </w:pPr>
            <w:r>
              <w:t>50</w:t>
            </w:r>
          </w:p>
        </w:tc>
      </w:tr>
      <w:tr w:rsidR="00E73671" w14:paraId="49AE6857" w14:textId="77777777" w:rsidTr="00E73671">
        <w:tc>
          <w:tcPr>
            <w:tcW w:w="1813" w:type="pct"/>
            <w:hideMark/>
          </w:tcPr>
          <w:p w14:paraId="52B1F1DE" w14:textId="77777777" w:rsidR="00E73671" w:rsidRDefault="00E73671" w:rsidP="00E73671">
            <w:pPr>
              <w:pStyle w:val="body"/>
            </w:pPr>
            <w:r>
              <w:t>ERLEADA™ (Apalutamide)</w:t>
            </w:r>
          </w:p>
        </w:tc>
        <w:tc>
          <w:tcPr>
            <w:tcW w:w="2024" w:type="pct"/>
            <w:hideMark/>
          </w:tcPr>
          <w:p w14:paraId="0F98BDC6" w14:textId="77777777" w:rsidR="00E73671" w:rsidRDefault="00E73671" w:rsidP="00E73671">
            <w:pPr>
              <w:pStyle w:val="body"/>
            </w:pPr>
            <w:r>
              <w:t>$286,171</w:t>
            </w:r>
          </w:p>
        </w:tc>
        <w:tc>
          <w:tcPr>
            <w:tcW w:w="1098" w:type="pct"/>
            <w:hideMark/>
          </w:tcPr>
          <w:p w14:paraId="71B50C86" w14:textId="77777777" w:rsidR="00E73671" w:rsidRDefault="00E73671" w:rsidP="00E73671">
            <w:pPr>
              <w:pStyle w:val="body"/>
            </w:pPr>
            <w:r>
              <w:t>154</w:t>
            </w:r>
          </w:p>
        </w:tc>
      </w:tr>
      <w:tr w:rsidR="00E73671" w14:paraId="4415CD58" w14:textId="77777777" w:rsidTr="00E73671">
        <w:tc>
          <w:tcPr>
            <w:tcW w:w="1813" w:type="pct"/>
            <w:hideMark/>
          </w:tcPr>
          <w:p w14:paraId="42E5AE97" w14:textId="77777777" w:rsidR="00E73671" w:rsidRDefault="00E73671" w:rsidP="00E73671">
            <w:pPr>
              <w:pStyle w:val="body"/>
            </w:pPr>
            <w:r>
              <w:t>SPRAVATO (Esketamine)</w:t>
            </w:r>
          </w:p>
        </w:tc>
        <w:tc>
          <w:tcPr>
            <w:tcW w:w="2024" w:type="pct"/>
            <w:hideMark/>
          </w:tcPr>
          <w:p w14:paraId="0067C0A9" w14:textId="77777777" w:rsidR="00E73671" w:rsidRDefault="00E73671" w:rsidP="00E73671">
            <w:pPr>
              <w:pStyle w:val="body"/>
            </w:pPr>
            <w:r>
              <w:t>$6,494,656</w:t>
            </w:r>
          </w:p>
        </w:tc>
        <w:tc>
          <w:tcPr>
            <w:tcW w:w="1098" w:type="pct"/>
            <w:hideMark/>
          </w:tcPr>
          <w:p w14:paraId="2756B2CB" w14:textId="77777777" w:rsidR="00E73671" w:rsidRDefault="00E73671" w:rsidP="00E73671">
            <w:pPr>
              <w:pStyle w:val="body"/>
            </w:pPr>
            <w:r>
              <w:t>6,400</w:t>
            </w:r>
          </w:p>
        </w:tc>
      </w:tr>
      <w:tr w:rsidR="00E73671" w14:paraId="7B7DF175" w14:textId="77777777" w:rsidTr="00E73671">
        <w:tc>
          <w:tcPr>
            <w:tcW w:w="1813" w:type="pct"/>
            <w:hideMark/>
          </w:tcPr>
          <w:p w14:paraId="137388A8" w14:textId="77777777" w:rsidR="00E73671" w:rsidRDefault="00E73671" w:rsidP="00E73671">
            <w:pPr>
              <w:pStyle w:val="body"/>
            </w:pPr>
            <w:r>
              <w:t>XOSPATA® (gilteritinib)</w:t>
            </w:r>
          </w:p>
        </w:tc>
        <w:tc>
          <w:tcPr>
            <w:tcW w:w="2024" w:type="pct"/>
            <w:hideMark/>
          </w:tcPr>
          <w:p w14:paraId="524E46C8" w14:textId="77777777" w:rsidR="00E73671" w:rsidRDefault="00E73671" w:rsidP="00E73671">
            <w:pPr>
              <w:pStyle w:val="body"/>
            </w:pPr>
            <w:r>
              <w:t>$13,710,938</w:t>
            </w:r>
          </w:p>
        </w:tc>
        <w:tc>
          <w:tcPr>
            <w:tcW w:w="1098" w:type="pct"/>
            <w:hideMark/>
          </w:tcPr>
          <w:p w14:paraId="1FFE57E0" w14:textId="77777777" w:rsidR="00E73671" w:rsidRDefault="00E73671" w:rsidP="00E73671">
            <w:pPr>
              <w:pStyle w:val="body"/>
            </w:pPr>
            <w:r>
              <w:t>1,875</w:t>
            </w:r>
          </w:p>
        </w:tc>
      </w:tr>
      <w:tr w:rsidR="00E73671" w14:paraId="7354E347" w14:textId="77777777" w:rsidTr="00E73671">
        <w:tc>
          <w:tcPr>
            <w:tcW w:w="1813" w:type="pct"/>
            <w:hideMark/>
          </w:tcPr>
          <w:p w14:paraId="29A5017A" w14:textId="77777777" w:rsidR="00E73671" w:rsidRDefault="00E73671" w:rsidP="00E73671">
            <w:pPr>
              <w:pStyle w:val="body"/>
            </w:pPr>
            <w:r>
              <w:t>JAKAFI™ (Ruxolitinib)</w:t>
            </w:r>
          </w:p>
        </w:tc>
        <w:tc>
          <w:tcPr>
            <w:tcW w:w="2024" w:type="pct"/>
            <w:hideMark/>
          </w:tcPr>
          <w:p w14:paraId="3A36756B" w14:textId="77777777" w:rsidR="00E73671" w:rsidRDefault="00E73671" w:rsidP="00E73671">
            <w:pPr>
              <w:pStyle w:val="body"/>
            </w:pPr>
            <w:r>
              <w:t>$556,788</w:t>
            </w:r>
          </w:p>
        </w:tc>
        <w:tc>
          <w:tcPr>
            <w:tcW w:w="1098" w:type="pct"/>
            <w:hideMark/>
          </w:tcPr>
          <w:p w14:paraId="56436A61" w14:textId="77777777" w:rsidR="00E73671" w:rsidRDefault="00E73671" w:rsidP="00E73671">
            <w:pPr>
              <w:pStyle w:val="body"/>
            </w:pPr>
            <w:r>
              <w:t>140</w:t>
            </w:r>
          </w:p>
        </w:tc>
      </w:tr>
      <w:tr w:rsidR="00E73671" w14:paraId="3AC702F4" w14:textId="77777777" w:rsidTr="00E73671">
        <w:tc>
          <w:tcPr>
            <w:tcW w:w="1813" w:type="pct"/>
            <w:hideMark/>
          </w:tcPr>
          <w:p w14:paraId="1AA0050B" w14:textId="77777777" w:rsidR="00E73671" w:rsidRDefault="00E73671" w:rsidP="00E73671">
            <w:pPr>
              <w:pStyle w:val="body"/>
            </w:pPr>
            <w:r>
              <w:t>T2Bacteria® Panel (T2 Bacteria Test Panel)</w:t>
            </w:r>
          </w:p>
        </w:tc>
        <w:tc>
          <w:tcPr>
            <w:tcW w:w="2024" w:type="pct"/>
            <w:hideMark/>
          </w:tcPr>
          <w:p w14:paraId="07EE405B" w14:textId="77777777" w:rsidR="00E73671" w:rsidRDefault="00E73671" w:rsidP="00E73671">
            <w:pPr>
              <w:pStyle w:val="body"/>
            </w:pPr>
            <w:r>
              <w:t>$3,669,803</w:t>
            </w:r>
          </w:p>
        </w:tc>
        <w:tc>
          <w:tcPr>
            <w:tcW w:w="1098" w:type="pct"/>
            <w:hideMark/>
          </w:tcPr>
          <w:p w14:paraId="5A278FDD" w14:textId="77777777" w:rsidR="00E73671" w:rsidRDefault="00E73671" w:rsidP="00E73671">
            <w:pPr>
              <w:pStyle w:val="body"/>
            </w:pPr>
            <w:r>
              <w:t>37,639</w:t>
            </w:r>
          </w:p>
        </w:tc>
      </w:tr>
      <w:tr w:rsidR="00E73671" w14:paraId="5FF1523A" w14:textId="77777777" w:rsidTr="00E73671">
        <w:tc>
          <w:tcPr>
            <w:tcW w:w="4968" w:type="pct"/>
            <w:gridSpan w:val="3"/>
            <w:hideMark/>
          </w:tcPr>
          <w:p w14:paraId="7FC9132B" w14:textId="0CE25308" w:rsidR="00E73671" w:rsidRDefault="00E73671" w:rsidP="00E73671">
            <w:pPr>
              <w:pStyle w:val="body"/>
            </w:pPr>
            <w:r>
              <w:t xml:space="preserve">Data Source: </w:t>
            </w:r>
            <w:hyperlink r:id="rId7" w:history="1">
              <w:r w:rsidRPr="006A2982">
                <w:rPr>
                  <w:rStyle w:val="webemailaddress"/>
                </w:rPr>
                <w:t>FY 2020 IPPS Final Rule</w:t>
              </w:r>
              <w:r w:rsidR="006A2982" w:rsidRPr="006A2982">
                <w:rPr>
                  <w:rStyle w:val="webemailaddress"/>
                </w:rPr>
                <w:t>, pp. 42669-42670</w:t>
              </w:r>
            </w:hyperlink>
          </w:p>
        </w:tc>
      </w:tr>
    </w:tbl>
    <w:p w14:paraId="21C4B496" w14:textId="77777777" w:rsidR="006A2982" w:rsidRDefault="006A2982" w:rsidP="00E73671">
      <w:pPr>
        <w:pStyle w:val="body"/>
      </w:pPr>
    </w:p>
    <w:p w14:paraId="293CA7C5" w14:textId="6BB782F0" w:rsidR="00E73671" w:rsidRPr="00E73671" w:rsidRDefault="00E73671" w:rsidP="00E73671">
      <w:pPr>
        <w:pStyle w:val="body"/>
        <w:rPr>
          <w:rFonts w:eastAsiaTheme="minorHAnsi"/>
          <w:sz w:val="24"/>
          <w:szCs w:val="24"/>
        </w:rPr>
      </w:pPr>
      <w:r>
        <w:t xml:space="preserve">Unfortunately, </w:t>
      </w:r>
      <w:r w:rsidR="006A2982">
        <w:t>Section</w:t>
      </w:r>
      <w:r>
        <w:t xml:space="preserve"> X is not intuitive. Your </w:t>
      </w:r>
      <w:r w:rsidR="006A2982">
        <w:t>computer-assisted coding</w:t>
      </w:r>
      <w:r>
        <w:t xml:space="preserve"> software will not prompt you for the X codes. It is important that you familiarize yourself with these codes each year.</w:t>
      </w:r>
      <w:r w:rsidR="006A2982">
        <w:t xml:space="preserve"> </w:t>
      </w:r>
      <w:r>
        <w:t>Missing them could lead to losing the additional add on payment for your hospital.</w:t>
      </w:r>
      <w:r w:rsidR="006A2982">
        <w:t xml:space="preserve"> </w:t>
      </w:r>
      <w:r>
        <w:t>Now is the time for you to find out:</w:t>
      </w:r>
    </w:p>
    <w:p w14:paraId="16FCFFB2" w14:textId="77777777" w:rsidR="00E73671" w:rsidRDefault="00E73671" w:rsidP="00E73671">
      <w:pPr>
        <w:pStyle w:val="Bullets"/>
      </w:pPr>
      <w:r>
        <w:rPr>
          <w:lang w:val="en-GB"/>
        </w:rPr>
        <w:t>Is your hospital providing any of these medical services or technology?</w:t>
      </w:r>
    </w:p>
    <w:p w14:paraId="02E9FBF3" w14:textId="19033252" w:rsidR="00E73671" w:rsidRDefault="00E73671" w:rsidP="00E73671">
      <w:pPr>
        <w:pStyle w:val="Bullets"/>
        <w:rPr>
          <w:sz w:val="24"/>
          <w:szCs w:val="24"/>
          <w:lang w:val="en-GB"/>
        </w:rPr>
      </w:pPr>
      <w:r>
        <w:rPr>
          <w:sz w:val="24"/>
          <w:szCs w:val="24"/>
          <w:lang w:val="en-GB"/>
        </w:rPr>
        <w:t>Who needs to be aware of what the new technologies are? (</w:t>
      </w:r>
      <w:r w:rsidR="00FB4A43">
        <w:rPr>
          <w:sz w:val="24"/>
          <w:szCs w:val="24"/>
          <w:lang w:val="en-GB"/>
        </w:rPr>
        <w:t>e.g.,</w:t>
      </w:r>
      <w:r>
        <w:rPr>
          <w:sz w:val="24"/>
          <w:szCs w:val="24"/>
          <w:lang w:val="en-GB"/>
        </w:rPr>
        <w:t xml:space="preserve"> </w:t>
      </w:r>
      <w:r w:rsidR="00FB4A43">
        <w:rPr>
          <w:sz w:val="24"/>
          <w:szCs w:val="24"/>
          <w:lang w:val="en-GB"/>
        </w:rPr>
        <w:t>p</w:t>
      </w:r>
      <w:r>
        <w:rPr>
          <w:sz w:val="24"/>
          <w:szCs w:val="24"/>
          <w:lang w:val="en-GB"/>
        </w:rPr>
        <w:t xml:space="preserve">hysicians, </w:t>
      </w:r>
      <w:r w:rsidR="00FB4A43">
        <w:rPr>
          <w:sz w:val="24"/>
          <w:szCs w:val="24"/>
          <w:lang w:val="en-GB"/>
        </w:rPr>
        <w:t>p</w:t>
      </w:r>
      <w:r>
        <w:rPr>
          <w:sz w:val="24"/>
          <w:szCs w:val="24"/>
          <w:lang w:val="en-GB"/>
        </w:rPr>
        <w:t xml:space="preserve">harmacy, </w:t>
      </w:r>
      <w:r w:rsidR="00FB4A43">
        <w:rPr>
          <w:sz w:val="24"/>
          <w:szCs w:val="24"/>
          <w:lang w:val="en-GB"/>
        </w:rPr>
        <w:t>c</w:t>
      </w:r>
      <w:r>
        <w:rPr>
          <w:sz w:val="24"/>
          <w:szCs w:val="24"/>
          <w:lang w:val="en-GB"/>
        </w:rPr>
        <w:t xml:space="preserve">oding </w:t>
      </w:r>
      <w:r w:rsidR="00FB4A43">
        <w:rPr>
          <w:sz w:val="24"/>
          <w:szCs w:val="24"/>
          <w:lang w:val="en-GB"/>
        </w:rPr>
        <w:t>p</w:t>
      </w:r>
      <w:r>
        <w:rPr>
          <w:sz w:val="24"/>
          <w:szCs w:val="24"/>
          <w:lang w:val="en-GB"/>
        </w:rPr>
        <w:t xml:space="preserve">rofessionals, </w:t>
      </w:r>
      <w:r w:rsidR="00FB4A43">
        <w:rPr>
          <w:sz w:val="24"/>
          <w:szCs w:val="24"/>
          <w:lang w:val="en-GB"/>
        </w:rPr>
        <w:t>CDI</w:t>
      </w:r>
      <w:r>
        <w:rPr>
          <w:sz w:val="24"/>
          <w:szCs w:val="24"/>
          <w:lang w:val="en-GB"/>
        </w:rPr>
        <w:t xml:space="preserve"> </w:t>
      </w:r>
      <w:r w:rsidR="00FB4A43">
        <w:rPr>
          <w:sz w:val="24"/>
          <w:szCs w:val="24"/>
          <w:lang w:val="en-GB"/>
        </w:rPr>
        <w:t>spe</w:t>
      </w:r>
      <w:r>
        <w:rPr>
          <w:sz w:val="24"/>
          <w:szCs w:val="24"/>
          <w:lang w:val="en-GB"/>
        </w:rPr>
        <w:t xml:space="preserve">cialists, </w:t>
      </w:r>
      <w:r w:rsidR="00FB4A43">
        <w:rPr>
          <w:sz w:val="24"/>
          <w:szCs w:val="24"/>
          <w:lang w:val="en-GB"/>
        </w:rPr>
        <w:t>c</w:t>
      </w:r>
      <w:r>
        <w:rPr>
          <w:sz w:val="24"/>
          <w:szCs w:val="24"/>
          <w:lang w:val="en-GB"/>
        </w:rPr>
        <w:t xml:space="preserve">ase </w:t>
      </w:r>
      <w:r w:rsidR="00FB4A43">
        <w:rPr>
          <w:sz w:val="24"/>
          <w:szCs w:val="24"/>
          <w:lang w:val="en-GB"/>
        </w:rPr>
        <w:t>m</w:t>
      </w:r>
      <w:r>
        <w:rPr>
          <w:sz w:val="24"/>
          <w:szCs w:val="24"/>
          <w:lang w:val="en-GB"/>
        </w:rPr>
        <w:t>anagers)</w:t>
      </w:r>
    </w:p>
    <w:p w14:paraId="65735A2A" w14:textId="3F740FC8" w:rsidR="00E73671" w:rsidRDefault="00E73671" w:rsidP="00E73671">
      <w:pPr>
        <w:pStyle w:val="Bullets"/>
        <w:rPr>
          <w:sz w:val="24"/>
          <w:szCs w:val="24"/>
          <w:lang w:val="en-GB"/>
        </w:rPr>
      </w:pPr>
      <w:r>
        <w:rPr>
          <w:sz w:val="24"/>
          <w:szCs w:val="24"/>
          <w:lang w:val="en-GB"/>
        </w:rPr>
        <w:t xml:space="preserve">What process do you have in place to alert your </w:t>
      </w:r>
      <w:r w:rsidR="00FB4A43">
        <w:rPr>
          <w:sz w:val="24"/>
          <w:szCs w:val="24"/>
          <w:lang w:val="en-GB"/>
        </w:rPr>
        <w:t>c</w:t>
      </w:r>
      <w:r>
        <w:rPr>
          <w:sz w:val="24"/>
          <w:szCs w:val="24"/>
          <w:lang w:val="en-GB"/>
        </w:rPr>
        <w:t xml:space="preserve">oding </w:t>
      </w:r>
      <w:r w:rsidR="00FB4A43">
        <w:rPr>
          <w:sz w:val="24"/>
          <w:szCs w:val="24"/>
          <w:lang w:val="en-GB"/>
        </w:rPr>
        <w:t>s</w:t>
      </w:r>
      <w:r>
        <w:rPr>
          <w:sz w:val="24"/>
          <w:szCs w:val="24"/>
          <w:lang w:val="en-GB"/>
        </w:rPr>
        <w:t>taff of the need to code the new technologies?</w:t>
      </w:r>
    </w:p>
    <w:p w14:paraId="27BB32C5" w14:textId="77777777" w:rsidR="00E73671" w:rsidRDefault="00E73671" w:rsidP="00E73671">
      <w:pPr>
        <w:pStyle w:val="body"/>
      </w:pPr>
    </w:p>
    <w:p w14:paraId="48DF32BF" w14:textId="628E4B90" w:rsidR="00E73671" w:rsidRPr="00FB4A43" w:rsidRDefault="00E73671" w:rsidP="00FB4A43">
      <w:pPr>
        <w:pStyle w:val="body"/>
        <w:rPr>
          <w:rFonts w:eastAsiaTheme="minorHAnsi"/>
          <w:sz w:val="24"/>
          <w:szCs w:val="24"/>
        </w:rPr>
      </w:pPr>
      <w:r>
        <w:t>Answering these questions will allow you to evaluate your hospital’s success at capturing NTAP codes and help you define your role in this process.</w:t>
      </w:r>
    </w:p>
    <w:p w14:paraId="5434EAA3" w14:textId="6378CF4C" w:rsidR="00E73671" w:rsidRPr="00E73671" w:rsidRDefault="00E73671" w:rsidP="00E73671">
      <w:pPr>
        <w:pStyle w:val="EditorsNote"/>
      </w:pPr>
      <w:r w:rsidRPr="00E73671">
        <w:rPr>
          <w:rStyle w:val="Editorsnote0"/>
        </w:rPr>
        <w:t>Editor’s Note:</w:t>
      </w:r>
      <w:r w:rsidRPr="00E73671">
        <w:t xml:space="preserve"> Brodie is a CDI education specialist and CDI Boot Camp instructor for HCPro in Middleton, Massachusetts</w:t>
      </w:r>
      <w:r>
        <w:t>, and a member of the ACDIS CDI Regulatory Committee</w:t>
      </w:r>
      <w:r w:rsidRPr="00E73671">
        <w:t xml:space="preserve">. For information, contact her at </w:t>
      </w:r>
      <w:hyperlink r:id="rId8" w:history="1">
        <w:r w:rsidRPr="00E73671">
          <w:rPr>
            <w:rStyle w:val="webemailaddress"/>
          </w:rPr>
          <w:t>sbrodie@hcpro.com</w:t>
        </w:r>
      </w:hyperlink>
      <w:r w:rsidRPr="00E73671">
        <w:t xml:space="preserve">. For information regarding CDI Boot Camps, </w:t>
      </w:r>
      <w:hyperlink r:id="rId9" w:history="1">
        <w:r w:rsidRPr="00E73671">
          <w:rPr>
            <w:rStyle w:val="webemailaddress"/>
          </w:rPr>
          <w:t>click here</w:t>
        </w:r>
      </w:hyperlink>
      <w:r w:rsidRPr="00E73671">
        <w:t xml:space="preserve">. </w:t>
      </w:r>
    </w:p>
    <w:p w14:paraId="3FB2C578" w14:textId="2D54FD81" w:rsidR="00BE29B6" w:rsidRPr="00E73671" w:rsidRDefault="00BE29B6" w:rsidP="00E73671"/>
    <w:sectPr w:rsidR="00BE29B6" w:rsidRPr="00E73671" w:rsidSect="00566F8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Zapf Dingbats">
    <w:altName w:val="Wingdings"/>
    <w:charset w:val="02"/>
    <w:family w:val="auto"/>
    <w:pitch w:val="variable"/>
    <w:sig w:usb0="00000000" w:usb1="10000000" w:usb2="00000000" w:usb3="00000000" w:csb0="80000000" w:csb1="00000000"/>
  </w:font>
  <w:font w:name="HelveticaNeueLTStd-It">
    <w:altName w:val="HelveticaNeueLT Std"/>
    <w:panose1 w:val="020B0604020202090204"/>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T Std 75">
    <w:altName w:val="Arial"/>
    <w:charset w:val="00"/>
    <w:family w:val="auto"/>
    <w:pitch w:val="fixed"/>
    <w:sig w:usb0="800000AF" w:usb1="4000204A" w:usb2="00000000" w:usb3="00000000" w:csb0="00000001" w:csb1="00000000"/>
  </w:font>
  <w:font w:name="HelveticaNeueLTStd-Bd">
    <w:altName w:val="HelveticaNeueLT Std"/>
    <w:panose1 w:val="020B0804020202020204"/>
    <w:charset w:val="00"/>
    <w:family w:val="auto"/>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Std-Lt">
    <w:altName w:val="HelveticaNeueLT Std Lt"/>
    <w:panose1 w:val="020B0403020202020204"/>
    <w:charset w:val="00"/>
    <w:family w:val="auto"/>
    <w:pitch w:val="variable"/>
    <w:sig w:usb0="800000AF" w:usb1="4000204A" w:usb2="00000000" w:usb3="00000000" w:csb0="00000001" w:csb1="00000000"/>
  </w:font>
  <w:font w:name="GriffithGothic Black">
    <w:panose1 w:val="00000000000000000000"/>
    <w:charset w:val="00"/>
    <w:family w:val="modern"/>
    <w:notTrueType/>
    <w:pitch w:val="variable"/>
    <w:sig w:usb0="00000003" w:usb1="00000000" w:usb2="00000000" w:usb3="00000000" w:csb0="00000001" w:csb1="00000000"/>
  </w:font>
  <w:font w:name="GriffithGothic-Black">
    <w:altName w:val="GriffithGothic Black"/>
    <w:panose1 w:val="02000603060000020004"/>
    <w:charset w:val="00"/>
    <w:family w:val="auto"/>
    <w:pitch w:val="variable"/>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Std-BdCn">
    <w:altName w:val="HelveticaNeueLT Std Cn"/>
    <w:panose1 w:val="020B0706030502030204"/>
    <w:charset w:val="00"/>
    <w:family w:val="auto"/>
    <w:pitch w:val="variable"/>
    <w:sig w:usb0="800000AF" w:usb1="4000204A" w:usb2="00000000" w:usb3="00000000" w:csb0="00000001" w:csb1="00000000"/>
  </w:font>
  <w:font w:name="GriffithGothic">
    <w:altName w:val="Calibri"/>
    <w:charset w:val="00"/>
    <w:family w:val="auto"/>
    <w:pitch w:val="fixed"/>
    <w:sig w:usb0="00000003" w:usb1="00000000" w:usb2="00000000" w:usb3="00000000" w:csb0="00000001" w:csb1="00000000"/>
  </w:font>
  <w:font w:name="GriffithGothic-Regular">
    <w:altName w:val="GriffithGothic Regular"/>
    <w:panose1 w:val="02000603050000020004"/>
    <w:charset w:val="00"/>
    <w:family w:val="auto"/>
    <w:pitch w:val="variable"/>
    <w:sig w:usb0="00000003" w:usb1="00000000" w:usb2="00000000" w:usb3="00000000" w:csb0="00000001" w:csb1="00000000"/>
  </w:font>
  <w:font w:name="Helvetica Neue LT Std 76">
    <w:altName w:val="Arial"/>
    <w:charset w:val="00"/>
    <w:family w:val="auto"/>
    <w:pitch w:val="fixed"/>
    <w:sig w:usb0="800000AF" w:usb1="4000204A" w:usb2="00000000" w:usb3="00000000" w:csb0="00000001" w:csb1="00000000"/>
  </w:font>
  <w:font w:name="HelveticaNeueLTStd-BdIt">
    <w:altName w:val="HelveticaNeueLT Std"/>
    <w:panose1 w:val="020B0804020202090204"/>
    <w:charset w:val="00"/>
    <w:family w:val="auto"/>
    <w:pitch w:val="variable"/>
    <w:sig w:usb0="800000AF" w:usb1="4000204A" w:usb2="00000000" w:usb3="00000000" w:csb0="00000001" w:csb1="00000000"/>
  </w:font>
  <w:font w:name="Helvetica Neue LT Std 45 Light">
    <w:altName w:val="Arial"/>
    <w:charset w:val="00"/>
    <w:family w:val="auto"/>
    <w:pitch w:val="variable"/>
    <w:sig w:usb0="800000AF" w:usb1="4000204A" w:usb2="00000000" w:usb3="00000000" w:csb0="00000001" w:csb1="00000000"/>
  </w:font>
  <w:font w:name="HelveticaNeue-Bold">
    <w:altName w:val="Sylfaen"/>
    <w:charset w:val="00"/>
    <w:family w:val="swiss"/>
    <w:pitch w:val="variable"/>
    <w:sig w:usb0="E50002FF" w:usb1="500079DB" w:usb2="00001010" w:usb3="00000000" w:csb0="00000001" w:csb1="00000000"/>
  </w:font>
  <w:font w:name="Helvetica Neue LT Std 56">
    <w:altName w:val="Arial"/>
    <w:charset w:val="00"/>
    <w:family w:val="auto"/>
    <w:pitch w:val="variable"/>
    <w:sig w:usb0="800000AF" w:usb1="4000204A" w:usb2="00000000" w:usb3="00000000" w:csb0="00000001" w:csb1="00000000"/>
  </w:font>
  <w:font w:name="Helvetica Neue LT Std 77 Bold C">
    <w:altName w:val="Arial"/>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9A9"/>
    <w:multiLevelType w:val="hybridMultilevel"/>
    <w:tmpl w:val="3454F758"/>
    <w:lvl w:ilvl="0" w:tplc="4B624958">
      <w:start w:val="1"/>
      <w:numFmt w:val="decimal"/>
      <w:pStyle w:val="Bullets-numb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D056F5"/>
    <w:multiLevelType w:val="hybridMultilevel"/>
    <w:tmpl w:val="739C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16CD"/>
    <w:multiLevelType w:val="multilevel"/>
    <w:tmpl w:val="B0AE93B2"/>
    <w:lvl w:ilvl="0">
      <w:start w:val="1"/>
      <w:numFmt w:val="bullet"/>
      <w:lvlText w:val=""/>
      <w:lvlJc w:val="left"/>
      <w:pPr>
        <w:ind w:left="900" w:hanging="360"/>
      </w:pPr>
      <w:rPr>
        <w:rFonts w:ascii="Wingdings" w:hAnsi="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 w15:restartNumberingAfterBreak="0">
    <w:nsid w:val="080B45CB"/>
    <w:multiLevelType w:val="hybridMultilevel"/>
    <w:tmpl w:val="700861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B07C55"/>
    <w:multiLevelType w:val="multilevel"/>
    <w:tmpl w:val="5BFE999E"/>
    <w:lvl w:ilvl="0">
      <w:start w:val="1"/>
      <w:numFmt w:val="bullet"/>
      <w:lvlText w:val=""/>
      <w:lvlJc w:val="left"/>
      <w:pPr>
        <w:ind w:left="900" w:hanging="360"/>
      </w:pPr>
      <w:rPr>
        <w:rFonts w:ascii="Zapf Dingbats" w:hAnsi="Zapf Dingbats" w:hint="default"/>
        <w:color w:val="660066"/>
        <w:sz w:val="20"/>
        <w:szCs w:val="20"/>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 w15:restartNumberingAfterBreak="0">
    <w:nsid w:val="0B235EFA"/>
    <w:multiLevelType w:val="multilevel"/>
    <w:tmpl w:val="B0AE93B2"/>
    <w:lvl w:ilvl="0">
      <w:start w:val="1"/>
      <w:numFmt w:val="bullet"/>
      <w:lvlText w:val=""/>
      <w:lvlJc w:val="left"/>
      <w:pPr>
        <w:ind w:left="900" w:hanging="360"/>
      </w:pPr>
      <w:rPr>
        <w:rFonts w:ascii="Wingdings" w:hAnsi="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 w15:restartNumberingAfterBreak="0">
    <w:nsid w:val="0EE87E73"/>
    <w:multiLevelType w:val="hybridMultilevel"/>
    <w:tmpl w:val="98848C92"/>
    <w:lvl w:ilvl="0" w:tplc="033452DE">
      <w:numFmt w:val="bullet"/>
      <w:lvlText w:val="–"/>
      <w:lvlJc w:val="left"/>
      <w:pPr>
        <w:ind w:left="720" w:hanging="360"/>
      </w:pPr>
      <w:rPr>
        <w:rFonts w:ascii="HelveticaNeueLTStd-It" w:eastAsiaTheme="minorEastAsia" w:hAnsi="HelveticaNeueLTStd-It" w:cs="HelveticaNeueLTStd-I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46F3"/>
    <w:multiLevelType w:val="hybridMultilevel"/>
    <w:tmpl w:val="4470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9ED6127"/>
    <w:multiLevelType w:val="hybridMultilevel"/>
    <w:tmpl w:val="B0AE93B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D5B589D"/>
    <w:multiLevelType w:val="multilevel"/>
    <w:tmpl w:val="B0AE93B2"/>
    <w:lvl w:ilvl="0">
      <w:start w:val="1"/>
      <w:numFmt w:val="bullet"/>
      <w:lvlText w:val=""/>
      <w:lvlJc w:val="left"/>
      <w:pPr>
        <w:ind w:left="900" w:hanging="360"/>
      </w:pPr>
      <w:rPr>
        <w:rFonts w:ascii="Wingdings" w:hAnsi="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0" w15:restartNumberingAfterBreak="0">
    <w:nsid w:val="2708232C"/>
    <w:multiLevelType w:val="hybridMultilevel"/>
    <w:tmpl w:val="2D0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C3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9976CD"/>
    <w:multiLevelType w:val="hybridMultilevel"/>
    <w:tmpl w:val="B0DC79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27E5A3E"/>
    <w:multiLevelType w:val="multilevel"/>
    <w:tmpl w:val="8B1C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863BB"/>
    <w:multiLevelType w:val="hybridMultilevel"/>
    <w:tmpl w:val="376A3C98"/>
    <w:lvl w:ilvl="0" w:tplc="9AA097C8">
      <w:start w:val="1"/>
      <w:numFmt w:val="bullet"/>
      <w:pStyle w:val="Bullets"/>
      <w:lvlText w:val=""/>
      <w:lvlJc w:val="left"/>
      <w:pPr>
        <w:ind w:left="540" w:hanging="252"/>
      </w:pPr>
      <w:rPr>
        <w:rFonts w:ascii="Zapf Dingbats" w:hAnsi="Zapf Dingbats" w:hint="default"/>
        <w:color w:val="AD8CAA"/>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D7E3F93"/>
    <w:multiLevelType w:val="hybridMultilevel"/>
    <w:tmpl w:val="A74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91162CD"/>
    <w:multiLevelType w:val="hybridMultilevel"/>
    <w:tmpl w:val="7AEA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D5A4862"/>
    <w:multiLevelType w:val="hybridMultilevel"/>
    <w:tmpl w:val="2B1E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DAA28CA"/>
    <w:multiLevelType w:val="hybridMultilevel"/>
    <w:tmpl w:val="1784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DD70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BD7CA3"/>
    <w:multiLevelType w:val="multilevel"/>
    <w:tmpl w:val="B4B40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4"/>
  </w:num>
  <w:num w:numId="5">
    <w:abstractNumId w:val="9"/>
  </w:num>
  <w:num w:numId="6">
    <w:abstractNumId w:val="2"/>
  </w:num>
  <w:num w:numId="7">
    <w:abstractNumId w:val="5"/>
  </w:num>
  <w:num w:numId="8">
    <w:abstractNumId w:val="11"/>
  </w:num>
  <w:num w:numId="9">
    <w:abstractNumId w:val="12"/>
  </w:num>
  <w:num w:numId="10">
    <w:abstractNumId w:val="10"/>
  </w:num>
  <w:num w:numId="11">
    <w:abstractNumId w:val="1"/>
  </w:num>
  <w:num w:numId="12">
    <w:abstractNumId w:val="3"/>
  </w:num>
  <w:num w:numId="13">
    <w:abstractNumId w:val="4"/>
  </w:num>
  <w:num w:numId="14">
    <w:abstractNumId w:val="19"/>
  </w:num>
  <w:num w:numId="15">
    <w:abstractNumId w:val="20"/>
  </w:num>
  <w:num w:numId="16">
    <w:abstractNumId w:val="15"/>
  </w:num>
  <w:num w:numId="17">
    <w:abstractNumId w:val="17"/>
  </w:num>
  <w:num w:numId="18">
    <w:abstractNumId w:val="16"/>
  </w:num>
  <w:num w:numId="19">
    <w:abstractNumId w:val="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08"/>
    <w:rsid w:val="00035AB5"/>
    <w:rsid w:val="001014E5"/>
    <w:rsid w:val="0012444D"/>
    <w:rsid w:val="001377F1"/>
    <w:rsid w:val="0019614C"/>
    <w:rsid w:val="00216329"/>
    <w:rsid w:val="00253C7B"/>
    <w:rsid w:val="00261D1E"/>
    <w:rsid w:val="0030668D"/>
    <w:rsid w:val="0031414F"/>
    <w:rsid w:val="003A4963"/>
    <w:rsid w:val="003B4C75"/>
    <w:rsid w:val="00405BD9"/>
    <w:rsid w:val="00462410"/>
    <w:rsid w:val="00487A66"/>
    <w:rsid w:val="00520D88"/>
    <w:rsid w:val="006A2982"/>
    <w:rsid w:val="006A6082"/>
    <w:rsid w:val="00720341"/>
    <w:rsid w:val="00755CAB"/>
    <w:rsid w:val="00791001"/>
    <w:rsid w:val="007D4E08"/>
    <w:rsid w:val="007E261A"/>
    <w:rsid w:val="00881829"/>
    <w:rsid w:val="008B505E"/>
    <w:rsid w:val="008D4471"/>
    <w:rsid w:val="0096489D"/>
    <w:rsid w:val="009C6D52"/>
    <w:rsid w:val="00A22B8C"/>
    <w:rsid w:val="00A307B7"/>
    <w:rsid w:val="00A32190"/>
    <w:rsid w:val="00B920D5"/>
    <w:rsid w:val="00BE29B6"/>
    <w:rsid w:val="00C92722"/>
    <w:rsid w:val="00CA3351"/>
    <w:rsid w:val="00CC6305"/>
    <w:rsid w:val="00CF39E1"/>
    <w:rsid w:val="00D02C5A"/>
    <w:rsid w:val="00D61BA7"/>
    <w:rsid w:val="00DC7D9B"/>
    <w:rsid w:val="00E73671"/>
    <w:rsid w:val="00F47536"/>
    <w:rsid w:val="00F71B4D"/>
    <w:rsid w:val="00FB4A43"/>
    <w:rsid w:val="00FE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5D3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 Use"/>
    <w:qFormat/>
  </w:style>
  <w:style w:type="paragraph" w:styleId="Heading1">
    <w:name w:val="heading 1"/>
    <w:aliases w:val="no Use 1"/>
    <w:basedOn w:val="Normal"/>
    <w:next w:val="Normal"/>
    <w:link w:val="Heading1Char"/>
    <w:uiPriority w:val="9"/>
    <w:qFormat/>
    <w:rsid w:val="008B5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No Use 2"/>
    <w:basedOn w:val="Normal"/>
    <w:next w:val="Normal"/>
    <w:link w:val="Heading2Char"/>
    <w:uiPriority w:val="9"/>
    <w:unhideWhenUsed/>
    <w:qFormat/>
    <w:rsid w:val="008B50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o Use 3"/>
    <w:basedOn w:val="Normal"/>
    <w:next w:val="Normal"/>
    <w:link w:val="Heading3Char"/>
    <w:uiPriority w:val="9"/>
    <w:semiHidden/>
    <w:unhideWhenUsed/>
    <w:qFormat/>
    <w:rsid w:val="00D61BA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head">
    <w:name w:val="Department head"/>
    <w:basedOn w:val="Normal"/>
    <w:next w:val="Normal"/>
    <w:uiPriority w:val="99"/>
    <w:rsid w:val="0096489D"/>
    <w:pPr>
      <w:widowControl w:val="0"/>
      <w:suppressAutoHyphens/>
      <w:autoSpaceDE w:val="0"/>
      <w:autoSpaceDN w:val="0"/>
      <w:adjustRightInd w:val="0"/>
      <w:spacing w:after="270" w:line="400" w:lineRule="atLeast"/>
      <w:textAlignment w:val="center"/>
    </w:pPr>
    <w:rPr>
      <w:rFonts w:ascii="Helvetica Neue LT Std 75" w:hAnsi="Helvetica Neue LT Std 75" w:cs="HelveticaNeueLTStd-Bd"/>
      <w:bCs/>
      <w:color w:val="000000"/>
      <w:sz w:val="40"/>
      <w:szCs w:val="40"/>
    </w:rPr>
  </w:style>
  <w:style w:type="paragraph" w:customStyle="1" w:styleId="body">
    <w:name w:val="body"/>
    <w:basedOn w:val="Normal"/>
    <w:uiPriority w:val="99"/>
    <w:rsid w:val="00A22B8C"/>
    <w:pPr>
      <w:widowControl w:val="0"/>
      <w:suppressAutoHyphens/>
      <w:autoSpaceDE w:val="0"/>
      <w:autoSpaceDN w:val="0"/>
      <w:adjustRightInd w:val="0"/>
      <w:spacing w:after="90" w:line="300" w:lineRule="atLeast"/>
      <w:ind w:firstLine="180"/>
      <w:jc w:val="both"/>
      <w:textAlignment w:val="center"/>
    </w:pPr>
    <w:rPr>
      <w:rFonts w:ascii="HelveticaNeueLT Std Lt" w:hAnsi="HelveticaNeueLT Std Lt" w:cs="HelveticaNeueLTStd-Lt"/>
      <w:color w:val="000000"/>
      <w:spacing w:val="-1"/>
      <w:sz w:val="22"/>
      <w:szCs w:val="22"/>
    </w:rPr>
  </w:style>
  <w:style w:type="paragraph" w:customStyle="1" w:styleId="Bhead">
    <w:name w:val="B head"/>
    <w:basedOn w:val="Normal"/>
    <w:uiPriority w:val="99"/>
    <w:rsid w:val="00CA3351"/>
    <w:pPr>
      <w:widowControl w:val="0"/>
      <w:suppressAutoHyphens/>
      <w:autoSpaceDE w:val="0"/>
      <w:autoSpaceDN w:val="0"/>
      <w:adjustRightInd w:val="0"/>
      <w:spacing w:before="180" w:after="47" w:line="260" w:lineRule="atLeast"/>
      <w:textAlignment w:val="center"/>
    </w:pPr>
    <w:rPr>
      <w:rFonts w:ascii="GriffithGothic Black" w:hAnsi="GriffithGothic Black" w:cs="GriffithGothic-Black"/>
      <w:color w:val="F47A20"/>
    </w:rPr>
  </w:style>
  <w:style w:type="paragraph" w:customStyle="1" w:styleId="Kicker">
    <w:name w:val="Kicker"/>
    <w:basedOn w:val="Normal"/>
    <w:next w:val="Normal"/>
    <w:uiPriority w:val="99"/>
    <w:rsid w:val="00A32190"/>
    <w:pPr>
      <w:widowControl w:val="0"/>
      <w:suppressAutoHyphens/>
      <w:autoSpaceDE w:val="0"/>
      <w:autoSpaceDN w:val="0"/>
      <w:adjustRightInd w:val="0"/>
      <w:spacing w:line="280" w:lineRule="atLeast"/>
      <w:textAlignment w:val="center"/>
    </w:pPr>
    <w:rPr>
      <w:rFonts w:ascii="HelveticaNeueLT Std Cn" w:hAnsi="HelveticaNeueLT Std Cn" w:cs="HelveticaNeueLTStd-BdCn"/>
      <w:b/>
      <w:bCs/>
      <w:caps/>
      <w:color w:val="595A59"/>
      <w:spacing w:val="-1"/>
      <w:sz w:val="28"/>
      <w:szCs w:val="28"/>
    </w:rPr>
  </w:style>
  <w:style w:type="paragraph" w:customStyle="1" w:styleId="Ahead">
    <w:name w:val="A head"/>
    <w:basedOn w:val="Normal"/>
    <w:next w:val="Normal"/>
    <w:uiPriority w:val="99"/>
    <w:rsid w:val="00D61BA7"/>
    <w:pPr>
      <w:widowControl w:val="0"/>
      <w:suppressAutoHyphens/>
      <w:autoSpaceDE w:val="0"/>
      <w:autoSpaceDN w:val="0"/>
      <w:adjustRightInd w:val="0"/>
      <w:spacing w:after="360" w:line="520" w:lineRule="atLeast"/>
      <w:textAlignment w:val="center"/>
    </w:pPr>
    <w:rPr>
      <w:rFonts w:ascii="GriffithGothic" w:hAnsi="GriffithGothic" w:cs="GriffithGothic-Regular"/>
      <w:color w:val="701370"/>
      <w:sz w:val="50"/>
      <w:szCs w:val="50"/>
    </w:rPr>
  </w:style>
  <w:style w:type="paragraph" w:customStyle="1" w:styleId="Byline">
    <w:name w:val="Byline"/>
    <w:basedOn w:val="Normal"/>
    <w:next w:val="Normal"/>
    <w:uiPriority w:val="99"/>
    <w:rsid w:val="0096489D"/>
    <w:pPr>
      <w:widowControl w:val="0"/>
      <w:suppressAutoHyphens/>
      <w:autoSpaceDE w:val="0"/>
      <w:autoSpaceDN w:val="0"/>
      <w:adjustRightInd w:val="0"/>
      <w:spacing w:after="90" w:line="220" w:lineRule="atLeast"/>
      <w:textAlignment w:val="center"/>
    </w:pPr>
    <w:rPr>
      <w:rFonts w:ascii="Helvetica Neue LT Std 76" w:hAnsi="Helvetica Neue LT Std 76" w:cs="HelveticaNeueLTStd-BdIt"/>
      <w:bCs/>
      <w:iCs/>
      <w:color w:val="000000"/>
      <w:spacing w:val="-1"/>
      <w:sz w:val="18"/>
      <w:szCs w:val="18"/>
    </w:rPr>
  </w:style>
  <w:style w:type="paragraph" w:customStyle="1" w:styleId="EditorsNote">
    <w:name w:val="Editors Note"/>
    <w:basedOn w:val="Normal"/>
    <w:next w:val="Normal"/>
    <w:uiPriority w:val="99"/>
    <w:rsid w:val="00A32190"/>
    <w:pPr>
      <w:widowControl w:val="0"/>
      <w:suppressAutoHyphens/>
      <w:autoSpaceDE w:val="0"/>
      <w:autoSpaceDN w:val="0"/>
      <w:adjustRightInd w:val="0"/>
      <w:spacing w:before="180" w:after="90" w:line="220" w:lineRule="atLeast"/>
      <w:jc w:val="both"/>
      <w:textAlignment w:val="center"/>
    </w:pPr>
    <w:rPr>
      <w:rFonts w:ascii="HelveticaNeueLTStd-Lt" w:hAnsi="HelveticaNeueLTStd-Lt" w:cs="HelveticaNeueLTStd-Lt"/>
      <w:color w:val="4D4D4C"/>
      <w:spacing w:val="-1"/>
      <w:sz w:val="18"/>
      <w:szCs w:val="18"/>
    </w:rPr>
  </w:style>
  <w:style w:type="paragraph" w:customStyle="1" w:styleId="Bullets">
    <w:name w:val="Bullets"/>
    <w:uiPriority w:val="99"/>
    <w:rsid w:val="0096489D"/>
    <w:pPr>
      <w:numPr>
        <w:numId w:val="4"/>
      </w:numPr>
    </w:pPr>
    <w:rPr>
      <w:rFonts w:ascii="Helvetica Neue LT Std 45 Light" w:hAnsi="Helvetica Neue LT Std 45 Light" w:cs="HelveticaNeueLTStd-Lt"/>
      <w:color w:val="000000"/>
      <w:spacing w:val="-1"/>
      <w:sz w:val="22"/>
      <w:szCs w:val="22"/>
    </w:rPr>
  </w:style>
  <w:style w:type="paragraph" w:customStyle="1" w:styleId="Bullets-number">
    <w:name w:val="Bullets-number"/>
    <w:basedOn w:val="Normal"/>
    <w:next w:val="Normal"/>
    <w:uiPriority w:val="99"/>
    <w:rsid w:val="008D4471"/>
    <w:pPr>
      <w:widowControl w:val="0"/>
      <w:numPr>
        <w:numId w:val="3"/>
      </w:numPr>
      <w:suppressAutoHyphens/>
      <w:autoSpaceDE w:val="0"/>
      <w:autoSpaceDN w:val="0"/>
      <w:adjustRightInd w:val="0"/>
      <w:spacing w:after="90" w:line="300" w:lineRule="atLeast"/>
      <w:textAlignment w:val="center"/>
    </w:pPr>
    <w:rPr>
      <w:rFonts w:ascii="HelveticaNeueLTStd-Lt" w:hAnsi="HelveticaNeueLTStd-Lt" w:cs="HelveticaNeueLTStd-Lt"/>
      <w:color w:val="000000"/>
      <w:spacing w:val="-1"/>
      <w:sz w:val="22"/>
      <w:szCs w:val="22"/>
    </w:rPr>
  </w:style>
  <w:style w:type="character" w:customStyle="1" w:styleId="Bold">
    <w:name w:val="Bold"/>
    <w:basedOn w:val="DefaultParagraphFont"/>
    <w:uiPriority w:val="99"/>
    <w:qFormat/>
    <w:rsid w:val="001377F1"/>
    <w:rPr>
      <w:rFonts w:ascii="Helvetica Neue LT Std 75" w:hAnsi="Helvetica Neue LT Std 75" w:cs="HelveticaNeue-Bold"/>
      <w:b w:val="0"/>
      <w:bCs/>
      <w:i w:val="0"/>
      <w:iCs w:val="0"/>
      <w:color w:val="000000"/>
      <w:spacing w:val="-2"/>
      <w:sz w:val="22"/>
      <w:szCs w:val="22"/>
    </w:rPr>
  </w:style>
  <w:style w:type="paragraph" w:customStyle="1" w:styleId="Pullquote">
    <w:name w:val="Pullquote"/>
    <w:next w:val="Pullquoteauthor"/>
    <w:uiPriority w:val="99"/>
    <w:rsid w:val="00BE29B6"/>
    <w:pPr>
      <w:widowControl w:val="0"/>
      <w:suppressAutoHyphens/>
      <w:autoSpaceDE w:val="0"/>
      <w:autoSpaceDN w:val="0"/>
      <w:adjustRightInd w:val="0"/>
      <w:spacing w:after="90" w:line="300" w:lineRule="atLeast"/>
      <w:textAlignment w:val="center"/>
    </w:pPr>
    <w:rPr>
      <w:rFonts w:ascii="Helvetica Neue LT Std 75" w:hAnsi="Helvetica Neue LT Std 75" w:cs="HelveticaNeueLTStd-Bd"/>
      <w:bCs/>
      <w:color w:val="701470"/>
      <w:spacing w:val="-1"/>
      <w:sz w:val="26"/>
      <w:szCs w:val="26"/>
    </w:rPr>
  </w:style>
  <w:style w:type="paragraph" w:customStyle="1" w:styleId="Pullquoteauthor">
    <w:name w:val="Pullquote author"/>
    <w:basedOn w:val="Normal"/>
    <w:next w:val="Normal"/>
    <w:uiPriority w:val="99"/>
    <w:rsid w:val="00BE29B6"/>
    <w:pPr>
      <w:widowControl w:val="0"/>
      <w:suppressAutoHyphens/>
      <w:autoSpaceDE w:val="0"/>
      <w:autoSpaceDN w:val="0"/>
      <w:adjustRightInd w:val="0"/>
      <w:spacing w:after="90" w:line="240" w:lineRule="atLeast"/>
      <w:textAlignment w:val="center"/>
    </w:pPr>
    <w:rPr>
      <w:rFonts w:ascii="Helvetica Neue LT Std 56" w:hAnsi="Helvetica Neue LT Std 56" w:cs="HelveticaNeueLTStd-It"/>
      <w:iCs/>
      <w:color w:val="701470"/>
      <w:spacing w:val="-1"/>
      <w:sz w:val="20"/>
      <w:szCs w:val="20"/>
    </w:rPr>
  </w:style>
  <w:style w:type="paragraph" w:customStyle="1" w:styleId="Kicker2">
    <w:name w:val="Kicker2"/>
    <w:basedOn w:val="Normal"/>
    <w:qFormat/>
    <w:rsid w:val="001377F1"/>
    <w:pPr>
      <w:widowControl w:val="0"/>
      <w:suppressAutoHyphens/>
      <w:autoSpaceDE w:val="0"/>
      <w:autoSpaceDN w:val="0"/>
      <w:adjustRightInd w:val="0"/>
      <w:spacing w:after="90" w:line="300" w:lineRule="atLeast"/>
      <w:textAlignment w:val="center"/>
    </w:pPr>
    <w:rPr>
      <w:rFonts w:ascii="Helvetica Neue LT Std 77 Bold C" w:hAnsi="Helvetica Neue LT Std 77 Bold C" w:cs="HelveticaNeue-Bold"/>
      <w:bCs/>
      <w:caps/>
      <w:color w:val="000000"/>
      <w:spacing w:val="-2"/>
      <w:sz w:val="28"/>
      <w:szCs w:val="22"/>
    </w:rPr>
  </w:style>
  <w:style w:type="paragraph" w:customStyle="1" w:styleId="TOCdepartment">
    <w:name w:val="TOC department"/>
    <w:basedOn w:val="Normal"/>
    <w:next w:val="Normal"/>
    <w:uiPriority w:val="99"/>
    <w:rsid w:val="00BE29B6"/>
    <w:pPr>
      <w:widowControl w:val="0"/>
      <w:tabs>
        <w:tab w:val="right" w:pos="8900"/>
        <w:tab w:val="right" w:pos="10422"/>
      </w:tabs>
      <w:suppressAutoHyphens/>
      <w:autoSpaceDE w:val="0"/>
      <w:autoSpaceDN w:val="0"/>
      <w:adjustRightInd w:val="0"/>
      <w:spacing w:after="180" w:line="260" w:lineRule="atLeast"/>
      <w:textAlignment w:val="center"/>
    </w:pPr>
    <w:rPr>
      <w:rFonts w:ascii="Helvetica Neue LT Std 77 Bold C" w:hAnsi="Helvetica Neue LT Std 77 Bold C" w:cs="HelveticaNeueLTStd-BdCn"/>
      <w:bCs/>
      <w:caps/>
      <w:color w:val="595A59"/>
      <w:sz w:val="36"/>
      <w:szCs w:val="36"/>
    </w:rPr>
  </w:style>
  <w:style w:type="paragraph" w:customStyle="1" w:styleId="TOChead">
    <w:name w:val="TOC head"/>
    <w:basedOn w:val="Normal"/>
    <w:next w:val="Normal"/>
    <w:uiPriority w:val="99"/>
    <w:rsid w:val="00BE29B6"/>
    <w:pPr>
      <w:widowControl w:val="0"/>
      <w:tabs>
        <w:tab w:val="left" w:pos="360"/>
        <w:tab w:val="right" w:pos="8900"/>
        <w:tab w:val="right" w:pos="10422"/>
      </w:tabs>
      <w:suppressAutoHyphens/>
      <w:autoSpaceDE w:val="0"/>
      <w:autoSpaceDN w:val="0"/>
      <w:adjustRightInd w:val="0"/>
      <w:spacing w:line="260" w:lineRule="atLeast"/>
      <w:textAlignment w:val="center"/>
    </w:pPr>
    <w:rPr>
      <w:rFonts w:ascii="Helvetica Neue LT Std 77 Bold C" w:hAnsi="Helvetica Neue LT Std 77 Bold C" w:cs="HelveticaNeueLTStd-BdCn"/>
      <w:bCs/>
      <w:color w:val="6F1370"/>
      <w:sz w:val="22"/>
      <w:szCs w:val="22"/>
    </w:rPr>
  </w:style>
  <w:style w:type="paragraph" w:customStyle="1" w:styleId="TOCbody">
    <w:name w:val="TOC body"/>
    <w:uiPriority w:val="99"/>
    <w:rsid w:val="00F47536"/>
    <w:pPr>
      <w:widowControl w:val="0"/>
      <w:tabs>
        <w:tab w:val="left" w:pos="360"/>
        <w:tab w:val="right" w:pos="8900"/>
        <w:tab w:val="right" w:pos="10422"/>
      </w:tabs>
      <w:suppressAutoHyphens/>
      <w:autoSpaceDE w:val="0"/>
      <w:autoSpaceDN w:val="0"/>
      <w:adjustRightInd w:val="0"/>
      <w:spacing w:after="180" w:line="280" w:lineRule="atLeast"/>
      <w:ind w:left="360"/>
      <w:textAlignment w:val="center"/>
    </w:pPr>
    <w:rPr>
      <w:rFonts w:ascii="HelveticaNeueLT Std Lt" w:hAnsi="HelveticaNeueLT Std Lt" w:cs="HelveticaNeueLTStd-Lt"/>
      <w:color w:val="000000"/>
      <w:sz w:val="20"/>
      <w:szCs w:val="20"/>
    </w:rPr>
  </w:style>
  <w:style w:type="character" w:customStyle="1" w:styleId="Italic">
    <w:name w:val="Italic"/>
    <w:basedOn w:val="DefaultParagraphFont"/>
    <w:uiPriority w:val="99"/>
    <w:qFormat/>
    <w:rsid w:val="00A32190"/>
    <w:rPr>
      <w:rFonts w:ascii="Helvetica Neue LT Std 56" w:hAnsi="Helvetica Neue LT Std 56"/>
      <w:b w:val="0"/>
      <w:bCs w:val="0"/>
      <w:i/>
      <w:iCs/>
      <w:spacing w:val="-2"/>
      <w:sz w:val="22"/>
    </w:rPr>
  </w:style>
  <w:style w:type="character" w:customStyle="1" w:styleId="webemailaddress">
    <w:name w:val="web/email address"/>
    <w:uiPriority w:val="99"/>
    <w:rsid w:val="003B4C75"/>
    <w:rPr>
      <w:rFonts w:ascii="Helvetica Neue LT Std 56" w:hAnsi="Helvetica Neue LT Std 56"/>
      <w:b w:val="0"/>
      <w:bCs w:val="0"/>
      <w:i w:val="0"/>
      <w:iCs/>
      <w:color w:val="3E99C3"/>
    </w:rPr>
  </w:style>
  <w:style w:type="character" w:styleId="FollowedHyperlink">
    <w:name w:val="FollowedHyperlink"/>
    <w:basedOn w:val="DefaultParagraphFont"/>
    <w:uiPriority w:val="99"/>
    <w:semiHidden/>
    <w:unhideWhenUsed/>
    <w:rsid w:val="008D4471"/>
    <w:rPr>
      <w:color w:val="800080" w:themeColor="followedHyperlink"/>
      <w:u w:val="single"/>
    </w:rPr>
  </w:style>
  <w:style w:type="character" w:customStyle="1" w:styleId="Editorsnote0">
    <w:name w:val="Editors note"/>
    <w:uiPriority w:val="99"/>
    <w:rsid w:val="0019614C"/>
    <w:rPr>
      <w:rFonts w:ascii="Helvetica Neue LT Std 75" w:hAnsi="Helvetica Neue LT Std 75"/>
      <w:b w:val="0"/>
      <w:bCs/>
      <w:i w:val="0"/>
      <w:iCs w:val="0"/>
      <w:color w:val="701370"/>
    </w:rPr>
  </w:style>
  <w:style w:type="character" w:customStyle="1" w:styleId="Heading3Char">
    <w:name w:val="Heading 3 Char"/>
    <w:aliases w:val="No Use 3 Char"/>
    <w:basedOn w:val="DefaultParagraphFont"/>
    <w:link w:val="Heading3"/>
    <w:uiPriority w:val="9"/>
    <w:semiHidden/>
    <w:rsid w:val="00D61BA7"/>
    <w:rPr>
      <w:rFonts w:asciiTheme="majorHAnsi" w:eastAsiaTheme="majorEastAsia" w:hAnsiTheme="majorHAnsi" w:cstheme="majorBidi"/>
      <w:color w:val="243F60" w:themeColor="accent1" w:themeShade="7F"/>
    </w:rPr>
  </w:style>
  <w:style w:type="character" w:customStyle="1" w:styleId="Heading1Char">
    <w:name w:val="Heading 1 Char"/>
    <w:aliases w:val="no Use 1 Char"/>
    <w:basedOn w:val="DefaultParagraphFont"/>
    <w:link w:val="Heading1"/>
    <w:uiPriority w:val="9"/>
    <w:rsid w:val="008B505E"/>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No Use 2 Char"/>
    <w:basedOn w:val="DefaultParagraphFont"/>
    <w:link w:val="Heading2"/>
    <w:uiPriority w:val="9"/>
    <w:rsid w:val="008B505E"/>
    <w:rPr>
      <w:rFonts w:asciiTheme="majorHAnsi" w:eastAsiaTheme="majorEastAsia" w:hAnsiTheme="majorHAnsi" w:cstheme="majorBidi"/>
      <w:color w:val="365F91" w:themeColor="accent1" w:themeShade="BF"/>
      <w:sz w:val="26"/>
      <w:szCs w:val="26"/>
    </w:rPr>
  </w:style>
  <w:style w:type="character" w:customStyle="1" w:styleId="Dropcap">
    <w:name w:val="Drop cap"/>
    <w:rsid w:val="0012444D"/>
    <w:rPr>
      <w:rFonts w:ascii="Helvetica Neue LT Std 45 Light" w:hAnsi="Helvetica Neue LT Std 45 Light"/>
      <w:b w:val="0"/>
      <w:bCs w:val="0"/>
      <w:i w:val="0"/>
      <w:iCs w:val="0"/>
      <w:color w:val="F79646" w:themeColor="accent6"/>
      <w:spacing w:val="-2"/>
    </w:rPr>
  </w:style>
  <w:style w:type="character" w:styleId="Hyperlink">
    <w:name w:val="Hyperlink"/>
    <w:basedOn w:val="DefaultParagraphFont"/>
    <w:uiPriority w:val="99"/>
    <w:unhideWhenUsed/>
    <w:rsid w:val="00E73671"/>
    <w:rPr>
      <w:color w:val="0000FF" w:themeColor="hyperlink"/>
      <w:u w:val="single"/>
    </w:rPr>
  </w:style>
  <w:style w:type="paragraph" w:styleId="ListParagraph">
    <w:name w:val="List Paragraph"/>
    <w:basedOn w:val="Normal"/>
    <w:uiPriority w:val="34"/>
    <w:qFormat/>
    <w:rsid w:val="00E73671"/>
    <w:pPr>
      <w:spacing w:after="160" w:line="254" w:lineRule="auto"/>
      <w:ind w:left="720"/>
      <w:contextualSpacing/>
    </w:pPr>
    <w:rPr>
      <w:rFonts w:eastAsiaTheme="minorHAnsi"/>
      <w:sz w:val="22"/>
      <w:szCs w:val="22"/>
    </w:rPr>
  </w:style>
  <w:style w:type="paragraph" w:customStyle="1" w:styleId="Default">
    <w:name w:val="Default"/>
    <w:rsid w:val="00E73671"/>
    <w:pPr>
      <w:autoSpaceDE w:val="0"/>
      <w:autoSpaceDN w:val="0"/>
      <w:adjustRightInd w:val="0"/>
    </w:pPr>
    <w:rPr>
      <w:rFonts w:ascii="Courier New" w:eastAsiaTheme="minorHAnsi" w:hAnsi="Courier New" w:cs="Courier New"/>
      <w:color w:val="000000"/>
    </w:rPr>
  </w:style>
  <w:style w:type="table" w:styleId="TableGridLight">
    <w:name w:val="Grid Table Light"/>
    <w:basedOn w:val="TableNormal"/>
    <w:uiPriority w:val="40"/>
    <w:rsid w:val="00E736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E73671"/>
    <w:rPr>
      <w:i/>
      <w:iCs/>
    </w:rPr>
  </w:style>
  <w:style w:type="character" w:styleId="CommentReference">
    <w:name w:val="annotation reference"/>
    <w:basedOn w:val="DefaultParagraphFont"/>
    <w:uiPriority w:val="99"/>
    <w:semiHidden/>
    <w:unhideWhenUsed/>
    <w:rsid w:val="006A2982"/>
    <w:rPr>
      <w:sz w:val="16"/>
      <w:szCs w:val="16"/>
    </w:rPr>
  </w:style>
  <w:style w:type="paragraph" w:styleId="CommentText">
    <w:name w:val="annotation text"/>
    <w:basedOn w:val="Normal"/>
    <w:link w:val="CommentTextChar"/>
    <w:uiPriority w:val="99"/>
    <w:semiHidden/>
    <w:unhideWhenUsed/>
    <w:rsid w:val="006A2982"/>
    <w:rPr>
      <w:sz w:val="20"/>
      <w:szCs w:val="20"/>
    </w:rPr>
  </w:style>
  <w:style w:type="character" w:customStyle="1" w:styleId="CommentTextChar">
    <w:name w:val="Comment Text Char"/>
    <w:basedOn w:val="DefaultParagraphFont"/>
    <w:link w:val="CommentText"/>
    <w:uiPriority w:val="99"/>
    <w:semiHidden/>
    <w:rsid w:val="006A2982"/>
    <w:rPr>
      <w:sz w:val="20"/>
      <w:szCs w:val="20"/>
    </w:rPr>
  </w:style>
  <w:style w:type="paragraph" w:styleId="CommentSubject">
    <w:name w:val="annotation subject"/>
    <w:basedOn w:val="CommentText"/>
    <w:next w:val="CommentText"/>
    <w:link w:val="CommentSubjectChar"/>
    <w:uiPriority w:val="99"/>
    <w:semiHidden/>
    <w:unhideWhenUsed/>
    <w:rsid w:val="006A2982"/>
    <w:rPr>
      <w:b/>
      <w:bCs/>
    </w:rPr>
  </w:style>
  <w:style w:type="character" w:customStyle="1" w:styleId="CommentSubjectChar">
    <w:name w:val="Comment Subject Char"/>
    <w:basedOn w:val="CommentTextChar"/>
    <w:link w:val="CommentSubject"/>
    <w:uiPriority w:val="99"/>
    <w:semiHidden/>
    <w:rsid w:val="006A2982"/>
    <w:rPr>
      <w:b/>
      <w:bCs/>
      <w:sz w:val="20"/>
      <w:szCs w:val="20"/>
    </w:rPr>
  </w:style>
  <w:style w:type="paragraph" w:styleId="BalloonText">
    <w:name w:val="Balloon Text"/>
    <w:basedOn w:val="Normal"/>
    <w:link w:val="BalloonTextChar"/>
    <w:uiPriority w:val="99"/>
    <w:semiHidden/>
    <w:unhideWhenUsed/>
    <w:rsid w:val="006A2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82"/>
    <w:rPr>
      <w:rFonts w:ascii="Segoe UI" w:hAnsi="Segoe UI" w:cs="Segoe UI"/>
      <w:sz w:val="18"/>
      <w:szCs w:val="18"/>
    </w:rPr>
  </w:style>
  <w:style w:type="character" w:styleId="UnresolvedMention">
    <w:name w:val="Unresolved Mention"/>
    <w:basedOn w:val="DefaultParagraphFont"/>
    <w:uiPriority w:val="99"/>
    <w:rsid w:val="006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916488">
      <w:bodyDiv w:val="1"/>
      <w:marLeft w:val="0"/>
      <w:marRight w:val="0"/>
      <w:marTop w:val="0"/>
      <w:marBottom w:val="0"/>
      <w:divBdr>
        <w:top w:val="none" w:sz="0" w:space="0" w:color="auto"/>
        <w:left w:val="none" w:sz="0" w:space="0" w:color="auto"/>
        <w:bottom w:val="none" w:sz="0" w:space="0" w:color="auto"/>
        <w:right w:val="none" w:sz="0" w:space="0" w:color="auto"/>
      </w:divBdr>
    </w:div>
    <w:div w:id="1517034181">
      <w:bodyDiv w:val="1"/>
      <w:marLeft w:val="0"/>
      <w:marRight w:val="0"/>
      <w:marTop w:val="0"/>
      <w:marBottom w:val="0"/>
      <w:divBdr>
        <w:top w:val="none" w:sz="0" w:space="0" w:color="auto"/>
        <w:left w:val="none" w:sz="0" w:space="0" w:color="auto"/>
        <w:bottom w:val="none" w:sz="0" w:space="0" w:color="auto"/>
        <w:right w:val="none" w:sz="0" w:space="0" w:color="auto"/>
      </w:divBdr>
    </w:div>
    <w:div w:id="1919288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odie@hcpro.com" TargetMode="External"/><Relationship Id="rId3" Type="http://schemas.openxmlformats.org/officeDocument/2006/relationships/settings" Target="settings.xml"/><Relationship Id="rId7" Type="http://schemas.openxmlformats.org/officeDocument/2006/relationships/hyperlink" Target="https://www.cms.gov/Medicare/Medicare-Fee-for-Service-Payment/AcuteInpatientPPS/FY2020-IPPS-Final-Rule-Home-P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alere.com/webinars/data-driven-insights-the-future-of-performance-improvement" TargetMode="External"/><Relationship Id="rId11" Type="http://schemas.openxmlformats.org/officeDocument/2006/relationships/theme" Target="theme/theme1.xml"/><Relationship Id="rId5" Type="http://schemas.openxmlformats.org/officeDocument/2006/relationships/hyperlink" Target="https://avalere.com/insights/the-inpatient-prospective-payment-systems-ipps-fy-2017-over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cmarketplace.com/product-type/boot-camps/cli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BLR</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McMahan</dc:creator>
  <cp:keywords/>
  <dc:description/>
  <cp:lastModifiedBy>Linnea Archibald</cp:lastModifiedBy>
  <cp:revision>5</cp:revision>
  <dcterms:created xsi:type="dcterms:W3CDTF">2017-10-23T20:41:00Z</dcterms:created>
  <dcterms:modified xsi:type="dcterms:W3CDTF">2020-06-08T17:34:00Z</dcterms:modified>
</cp:coreProperties>
</file>