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0DEA2" w14:textId="77777777" w:rsidR="0083231D" w:rsidRPr="0083231D" w:rsidRDefault="0083231D" w:rsidP="0083231D">
      <w:pPr>
        <w:pStyle w:val="Kicker"/>
      </w:pPr>
      <w:r w:rsidRPr="0083231D">
        <w:t>Regulatory Committee Insights</w:t>
      </w:r>
    </w:p>
    <w:p w14:paraId="1EA9D634" w14:textId="77777777" w:rsidR="0083231D" w:rsidRPr="00825E51" w:rsidRDefault="0083231D" w:rsidP="0083231D">
      <w:pPr>
        <w:pStyle w:val="Ahead"/>
      </w:pPr>
      <w:r w:rsidRPr="00825E51">
        <w:t xml:space="preserve">New COVID-19 </w:t>
      </w:r>
      <w:r>
        <w:t>tr</w:t>
      </w:r>
      <w:r w:rsidRPr="00825E51">
        <w:t>eatments </w:t>
      </w:r>
      <w:r>
        <w:t>a</w:t>
      </w:r>
      <w:r w:rsidRPr="00825E51">
        <w:t xml:space="preserve">dd-on </w:t>
      </w:r>
      <w:r>
        <w:t>p</w:t>
      </w:r>
      <w:r w:rsidRPr="00825E51">
        <w:t>ayment (NCTAP)</w:t>
      </w:r>
    </w:p>
    <w:p w14:paraId="748B4B33" w14:textId="30BF1244" w:rsidR="0083231D" w:rsidRDefault="0083231D" w:rsidP="0083231D">
      <w:pPr>
        <w:pStyle w:val="body"/>
      </w:pPr>
      <w:r>
        <w:t xml:space="preserve">Amid the many recent COVID-19 coding updates, it may have been easy to overlook Medicare’s </w:t>
      </w:r>
      <w:r>
        <w:t>n</w:t>
      </w:r>
      <w:r>
        <w:t xml:space="preserve">ew COVID-19 </w:t>
      </w:r>
      <w:r>
        <w:t>treatments a</w:t>
      </w:r>
      <w:r>
        <w:t>dd-</w:t>
      </w:r>
      <w:r>
        <w:t>o</w:t>
      </w:r>
      <w:r>
        <w:t xml:space="preserve">n </w:t>
      </w:r>
      <w:r>
        <w:t>p</w:t>
      </w:r>
      <w:r>
        <w:t>ayment (NCTAP).</w:t>
      </w:r>
      <w:r>
        <w:t xml:space="preserve"> </w:t>
      </w:r>
      <w:r>
        <w:t>The NCTAP is applied in addition to the MS-DRG payment for inpatient cases.</w:t>
      </w:r>
      <w:r>
        <w:t xml:space="preserve"> </w:t>
      </w:r>
      <w:r>
        <w:t>Currently, there are three products that meet the requirements for the NCTAP additional payment:</w:t>
      </w:r>
      <w:r>
        <w:t xml:space="preserve"> </w:t>
      </w:r>
    </w:p>
    <w:p w14:paraId="1ED0DA37" w14:textId="18D71A2A" w:rsidR="0083231D" w:rsidRDefault="0083231D" w:rsidP="0083231D">
      <w:pPr>
        <w:pStyle w:val="Bullets"/>
      </w:pPr>
      <w:bookmarkStart w:id="0" w:name="_Hlk59306611"/>
      <w:r>
        <w:t>COVID-19 convalescent plasma</w:t>
      </w:r>
    </w:p>
    <w:p w14:paraId="4D503F08" w14:textId="0F138DA9" w:rsidR="0083231D" w:rsidRDefault="0083231D" w:rsidP="0083231D">
      <w:pPr>
        <w:pStyle w:val="Bullets"/>
      </w:pPr>
      <w:proofErr w:type="spellStart"/>
      <w:r>
        <w:t>Veklury</w:t>
      </w:r>
      <w:proofErr w:type="spellEnd"/>
      <w:r>
        <w:t>® (</w:t>
      </w:r>
      <w:proofErr w:type="spellStart"/>
      <w:r>
        <w:t>remdesivir</w:t>
      </w:r>
      <w:proofErr w:type="spellEnd"/>
      <w:r>
        <w:t xml:space="preserve">) </w:t>
      </w:r>
      <w:bookmarkEnd w:id="0"/>
    </w:p>
    <w:p w14:paraId="1A8EE196" w14:textId="77777777" w:rsidR="0083231D" w:rsidRDefault="0083231D" w:rsidP="0083231D">
      <w:pPr>
        <w:pStyle w:val="Bullets"/>
      </w:pPr>
      <w:proofErr w:type="spellStart"/>
      <w:r w:rsidRPr="0060100B">
        <w:t>baricitinib</w:t>
      </w:r>
      <w:proofErr w:type="spellEnd"/>
      <w:r w:rsidRPr="0060100B">
        <w:t xml:space="preserve"> (Olum</w:t>
      </w:r>
      <w:r>
        <w:t>i</w:t>
      </w:r>
      <w:r w:rsidRPr="0060100B">
        <w:t xml:space="preserve">ant) </w:t>
      </w:r>
      <w:r>
        <w:t xml:space="preserve">used in combination with </w:t>
      </w:r>
      <w:proofErr w:type="spellStart"/>
      <w:r>
        <w:t>remdesivir</w:t>
      </w:r>
      <w:proofErr w:type="spellEnd"/>
      <w:r>
        <w:t xml:space="preserve"> (</w:t>
      </w:r>
      <w:proofErr w:type="spellStart"/>
      <w:r>
        <w:t>Veklury</w:t>
      </w:r>
      <w:proofErr w:type="spellEnd"/>
      <w:r>
        <w:t xml:space="preserve">®) </w:t>
      </w:r>
    </w:p>
    <w:p w14:paraId="117F172B" w14:textId="77777777" w:rsidR="0083231D" w:rsidRDefault="0083231D" w:rsidP="0083231D">
      <w:pPr>
        <w:pStyle w:val="body"/>
      </w:pPr>
    </w:p>
    <w:p w14:paraId="7670FC80" w14:textId="05A63D9E" w:rsidR="0083231D" w:rsidRPr="0083231D" w:rsidRDefault="0083231D" w:rsidP="0083231D">
      <w:pPr>
        <w:pStyle w:val="body"/>
      </w:pPr>
      <w:r w:rsidRPr="0083231D">
        <w:t>The NCTAP for</w:t>
      </w:r>
      <w:r>
        <w:t xml:space="preserve"> </w:t>
      </w:r>
      <w:r w:rsidRPr="0083231D">
        <w:t xml:space="preserve">the </w:t>
      </w:r>
      <w:r w:rsidRPr="0083231D">
        <w:rPr>
          <w:b/>
          <w:bCs/>
        </w:rPr>
        <w:t xml:space="preserve">COVID-19 convalescent plasma and </w:t>
      </w:r>
      <w:proofErr w:type="spellStart"/>
      <w:r w:rsidRPr="0083231D">
        <w:rPr>
          <w:b/>
          <w:bCs/>
        </w:rPr>
        <w:t>Veklury</w:t>
      </w:r>
      <w:proofErr w:type="spellEnd"/>
      <w:r w:rsidRPr="0083231D">
        <w:rPr>
          <w:b/>
          <w:bCs/>
        </w:rPr>
        <w:t>® (</w:t>
      </w:r>
      <w:proofErr w:type="spellStart"/>
      <w:r w:rsidRPr="0083231D">
        <w:rPr>
          <w:b/>
          <w:bCs/>
        </w:rPr>
        <w:t>remdesivir</w:t>
      </w:r>
      <w:proofErr w:type="spellEnd"/>
      <w:r w:rsidRPr="0083231D">
        <w:rPr>
          <w:b/>
          <w:bCs/>
        </w:rPr>
        <w:t>)</w:t>
      </w:r>
      <w:r w:rsidRPr="0083231D">
        <w:t xml:space="preserve"> became effective for hospital </w:t>
      </w:r>
      <w:r w:rsidRPr="0083231D">
        <w:rPr>
          <w:b/>
          <w:bCs/>
        </w:rPr>
        <w:t>discharges on or after November 2, 2020</w:t>
      </w:r>
      <w:r w:rsidRPr="0083231D">
        <w:t>.</w:t>
      </w:r>
      <w:r>
        <w:t xml:space="preserve"> </w:t>
      </w:r>
      <w:r w:rsidRPr="0083231D">
        <w:t>In addition to the ICD-10-PCS code to identify the COVID-19 treatment, the claim must also include the ICD-10-CM diagnosis code U07.1, COVID-19</w:t>
      </w:r>
      <w:r>
        <w:t>,</w:t>
      </w:r>
      <w:r w:rsidRPr="0083231D">
        <w:t xml:space="preserve"> to be eligible for the NCTAP.</w:t>
      </w:r>
      <w:r>
        <w:t xml:space="preserve"> </w:t>
      </w:r>
      <w:r w:rsidRPr="0083231D">
        <w:t>Below is the list of ICD-10-PCS codes for these COVID-19 treatments:</w:t>
      </w:r>
    </w:p>
    <w:p w14:paraId="67939F80" w14:textId="5596987C" w:rsidR="0083231D" w:rsidRPr="00825E51" w:rsidRDefault="0083231D" w:rsidP="0083231D">
      <w:pPr>
        <w:pStyle w:val="Bullets"/>
      </w:pPr>
      <w:r w:rsidRPr="00825E51">
        <w:t>XW033E5</w:t>
      </w:r>
      <w:r>
        <w:t>,</w:t>
      </w:r>
      <w:r w:rsidRPr="00825E51">
        <w:t xml:space="preserve"> Introduction of </w:t>
      </w:r>
      <w:proofErr w:type="spellStart"/>
      <w:r w:rsidRPr="00825E51">
        <w:t>Remdesivir</w:t>
      </w:r>
      <w:proofErr w:type="spellEnd"/>
      <w:r w:rsidRPr="00825E51">
        <w:t xml:space="preserve"> Anti-infective into Peripheral Vein, Percutaneous Approach, New Technology Group 5 </w:t>
      </w:r>
    </w:p>
    <w:p w14:paraId="255AEC02" w14:textId="0D64AED5" w:rsidR="0083231D" w:rsidRPr="00825E51" w:rsidRDefault="0083231D" w:rsidP="0083231D">
      <w:pPr>
        <w:pStyle w:val="Bullets"/>
      </w:pPr>
      <w:r w:rsidRPr="00825E51">
        <w:t>XW043E5</w:t>
      </w:r>
      <w:r>
        <w:t>,</w:t>
      </w:r>
      <w:r w:rsidRPr="00825E51">
        <w:t xml:space="preserve"> Introduction of </w:t>
      </w:r>
      <w:proofErr w:type="spellStart"/>
      <w:r w:rsidRPr="00825E51">
        <w:t>Remdesivir</w:t>
      </w:r>
      <w:proofErr w:type="spellEnd"/>
      <w:r w:rsidRPr="00825E51">
        <w:t xml:space="preserve"> Anti-infective into Central Vein, Percutaneous Approach, New Technology Group 5 </w:t>
      </w:r>
    </w:p>
    <w:p w14:paraId="2C1CE1E5" w14:textId="6A93D66D" w:rsidR="0083231D" w:rsidRPr="00825E51" w:rsidRDefault="0083231D" w:rsidP="0083231D">
      <w:pPr>
        <w:pStyle w:val="Bullets"/>
      </w:pPr>
      <w:r w:rsidRPr="00825E51">
        <w:t>XW13325</w:t>
      </w:r>
      <w:r>
        <w:t>,</w:t>
      </w:r>
      <w:r w:rsidRPr="00825E51">
        <w:t xml:space="preserve"> Transfusion of Convalescent Plasma (</w:t>
      </w:r>
      <w:proofErr w:type="spellStart"/>
      <w:r w:rsidRPr="00825E51">
        <w:t>Nonautologous</w:t>
      </w:r>
      <w:proofErr w:type="spellEnd"/>
      <w:r w:rsidRPr="00825E51">
        <w:t xml:space="preserve">) into Peripheral Vein, Percutaneous Approach, New Technology Group 5 </w:t>
      </w:r>
    </w:p>
    <w:p w14:paraId="6B12C782" w14:textId="44960484" w:rsidR="0083231D" w:rsidRPr="00825E51" w:rsidRDefault="0083231D" w:rsidP="0083231D">
      <w:pPr>
        <w:pStyle w:val="Bullets"/>
      </w:pPr>
      <w:r w:rsidRPr="00825E51">
        <w:t>XW14325</w:t>
      </w:r>
      <w:r>
        <w:t>,</w:t>
      </w:r>
      <w:r w:rsidRPr="00825E51">
        <w:t xml:space="preserve"> Transfusion of Convalescent Plasma (</w:t>
      </w:r>
      <w:proofErr w:type="spellStart"/>
      <w:r w:rsidRPr="00825E51">
        <w:t>Nonautologous</w:t>
      </w:r>
      <w:proofErr w:type="spellEnd"/>
      <w:r w:rsidRPr="00825E51">
        <w:t xml:space="preserve">) into Central Vein, Percutaneous Approach, New Technology Group 5) </w:t>
      </w:r>
    </w:p>
    <w:p w14:paraId="10242320" w14:textId="77777777" w:rsidR="0083231D" w:rsidRDefault="0083231D" w:rsidP="0083231D"/>
    <w:p w14:paraId="39BADD3E" w14:textId="77777777" w:rsidR="0083231D" w:rsidRDefault="0083231D" w:rsidP="0083231D">
      <w:pPr>
        <w:pStyle w:val="body"/>
      </w:pPr>
      <w:r w:rsidRPr="0083231D">
        <w:t>The NCTAP for</w:t>
      </w:r>
      <w:r>
        <w:t xml:space="preserve"> </w:t>
      </w:r>
      <w:r w:rsidRPr="0083231D">
        <w:t xml:space="preserve">the </w:t>
      </w:r>
      <w:proofErr w:type="spellStart"/>
      <w:r w:rsidRPr="0083231D">
        <w:rPr>
          <w:b/>
          <w:bCs/>
        </w:rPr>
        <w:t>baricitinib</w:t>
      </w:r>
      <w:proofErr w:type="spellEnd"/>
      <w:r w:rsidRPr="0083231D">
        <w:t xml:space="preserve"> (Olumiant) used in combination with </w:t>
      </w:r>
      <w:proofErr w:type="spellStart"/>
      <w:r w:rsidRPr="0083231D">
        <w:t>remdesivir</w:t>
      </w:r>
      <w:proofErr w:type="spellEnd"/>
      <w:r w:rsidRPr="0083231D">
        <w:t xml:space="preserve"> (</w:t>
      </w:r>
      <w:proofErr w:type="spellStart"/>
      <w:r w:rsidRPr="0083231D">
        <w:t>Veklury</w:t>
      </w:r>
      <w:proofErr w:type="spellEnd"/>
      <w:r w:rsidRPr="0083231D">
        <w:t xml:space="preserve">®) became effective for hospital </w:t>
      </w:r>
      <w:r w:rsidRPr="0083231D">
        <w:rPr>
          <w:b/>
          <w:bCs/>
        </w:rPr>
        <w:t>discharges on or after November 19, 2020</w:t>
      </w:r>
      <w:r w:rsidRPr="0083231D">
        <w:t>.</w:t>
      </w:r>
      <w:r>
        <w:t xml:space="preserve"> </w:t>
      </w:r>
      <w:r w:rsidRPr="0083231D">
        <w:t xml:space="preserve">In addition to an ICD-10-PCS code to identify the </w:t>
      </w:r>
      <w:proofErr w:type="spellStart"/>
      <w:r w:rsidRPr="0083231D">
        <w:t>baricitinib</w:t>
      </w:r>
      <w:proofErr w:type="spellEnd"/>
      <w:r w:rsidRPr="0083231D">
        <w:t xml:space="preserve"> (Olumiant), the claim must also include the ICD-10-CM diagnosis code U07.1, COVID-19</w:t>
      </w:r>
      <w:r>
        <w:t>,</w:t>
      </w:r>
      <w:r w:rsidRPr="0083231D">
        <w:t xml:space="preserve"> to be eligible for the NCTAP.</w:t>
      </w:r>
      <w:r>
        <w:t xml:space="preserve"> </w:t>
      </w:r>
    </w:p>
    <w:p w14:paraId="4A7CC4B5" w14:textId="355E43E9" w:rsidR="0083231D" w:rsidRPr="0083231D" w:rsidRDefault="0083231D" w:rsidP="0083231D">
      <w:pPr>
        <w:pStyle w:val="body"/>
      </w:pPr>
      <w:r w:rsidRPr="0083231D">
        <w:t>Additionally, in accordance with the</w:t>
      </w:r>
      <w:r>
        <w:t xml:space="preserve"> </w:t>
      </w:r>
      <w:r w:rsidRPr="0083231D">
        <w:t xml:space="preserve">emergency use </w:t>
      </w:r>
      <w:proofErr w:type="gramStart"/>
      <w:r w:rsidRPr="0083231D">
        <w:t>authorization</w:t>
      </w:r>
      <w:proofErr w:type="gramEnd"/>
      <w:r w:rsidRPr="0083231D">
        <w:t xml:space="preserve"> which is for the use of </w:t>
      </w:r>
      <w:proofErr w:type="spellStart"/>
      <w:r w:rsidRPr="0083231D">
        <w:t>baricitinib</w:t>
      </w:r>
      <w:proofErr w:type="spellEnd"/>
      <w:r w:rsidRPr="0083231D">
        <w:t xml:space="preserve"> with </w:t>
      </w:r>
      <w:proofErr w:type="spellStart"/>
      <w:r w:rsidRPr="0083231D">
        <w:t>remdesivir</w:t>
      </w:r>
      <w:proofErr w:type="spellEnd"/>
      <w:r w:rsidRPr="0083231D">
        <w:t xml:space="preserve">, the claim must also include an ICD-10-PCS code for </w:t>
      </w:r>
      <w:proofErr w:type="spellStart"/>
      <w:r w:rsidRPr="0083231D">
        <w:t>remdesivir</w:t>
      </w:r>
      <w:proofErr w:type="spellEnd"/>
      <w:r w:rsidRPr="0083231D">
        <w:t xml:space="preserve"> (XW033E5 or XW043E5).</w:t>
      </w:r>
      <w:r>
        <w:t xml:space="preserve"> </w:t>
      </w:r>
    </w:p>
    <w:p w14:paraId="2F931E9C" w14:textId="501F6DA8" w:rsidR="0083231D" w:rsidRPr="0083231D" w:rsidRDefault="0083231D" w:rsidP="0083231D">
      <w:pPr>
        <w:pStyle w:val="body"/>
      </w:pPr>
      <w:r w:rsidRPr="0083231D">
        <w:t xml:space="preserve">The ICD-10-PCS codes used to report the </w:t>
      </w:r>
      <w:proofErr w:type="spellStart"/>
      <w:r w:rsidRPr="0083231D">
        <w:rPr>
          <w:b/>
          <w:bCs/>
        </w:rPr>
        <w:t>baricitinib</w:t>
      </w:r>
      <w:proofErr w:type="spellEnd"/>
      <w:r w:rsidRPr="0083231D">
        <w:rPr>
          <w:b/>
          <w:bCs/>
        </w:rPr>
        <w:t xml:space="preserve"> (Olumiant)</w:t>
      </w:r>
      <w:r w:rsidRPr="0083231D">
        <w:t xml:space="preserve"> vary based on discharge date.</w:t>
      </w:r>
      <w:r>
        <w:t xml:space="preserve"> </w:t>
      </w:r>
      <w:r w:rsidRPr="0083231D">
        <w:t xml:space="preserve">The following ICD-10-PCS codes are to be used for </w:t>
      </w:r>
      <w:r w:rsidRPr="0083231D">
        <w:rPr>
          <w:b/>
          <w:bCs/>
        </w:rPr>
        <w:t>discharges from November 19, 2020</w:t>
      </w:r>
      <w:r>
        <w:rPr>
          <w:b/>
          <w:bCs/>
        </w:rPr>
        <w:t>,</w:t>
      </w:r>
      <w:r w:rsidRPr="0083231D">
        <w:rPr>
          <w:b/>
          <w:bCs/>
        </w:rPr>
        <w:t xml:space="preserve"> through December 31, 2020</w:t>
      </w:r>
      <w:r w:rsidRPr="0083231D">
        <w:t>.</w:t>
      </w:r>
      <w:r>
        <w:t xml:space="preserve"> </w:t>
      </w:r>
    </w:p>
    <w:p w14:paraId="3A0A0BC2" w14:textId="7C601197" w:rsidR="0083231D" w:rsidRPr="0083231D" w:rsidRDefault="0083231D" w:rsidP="0083231D">
      <w:pPr>
        <w:pStyle w:val="Bullets"/>
      </w:pPr>
      <w:r w:rsidRPr="0083231D">
        <w:t>XW0DXF5</w:t>
      </w:r>
      <w:r>
        <w:t xml:space="preserve">, </w:t>
      </w:r>
      <w:r w:rsidRPr="0083231D">
        <w:t>Introduction of other new technology therapeutic substance into mouth and pharynx, external approach, new technology group 5</w:t>
      </w:r>
    </w:p>
    <w:p w14:paraId="2E71D716" w14:textId="0C8FC6CB" w:rsidR="0083231D" w:rsidRPr="0083231D" w:rsidRDefault="0083231D" w:rsidP="0083231D">
      <w:pPr>
        <w:pStyle w:val="Bullets"/>
      </w:pPr>
      <w:r w:rsidRPr="0083231D">
        <w:t>3E0G7GC</w:t>
      </w:r>
      <w:r>
        <w:t xml:space="preserve">, </w:t>
      </w:r>
      <w:r w:rsidRPr="0083231D">
        <w:t>Introduction of other therapeutic substance into upper G.I. via natural or artificial opening</w:t>
      </w:r>
    </w:p>
    <w:p w14:paraId="60553704" w14:textId="02CA13D2" w:rsidR="0083231D" w:rsidRPr="0083231D" w:rsidRDefault="0083231D" w:rsidP="0083231D">
      <w:pPr>
        <w:pStyle w:val="Bullets"/>
      </w:pPr>
      <w:r w:rsidRPr="0083231D">
        <w:lastRenderedPageBreak/>
        <w:t>3E0H7GC</w:t>
      </w:r>
      <w:r>
        <w:t xml:space="preserve">, </w:t>
      </w:r>
      <w:r w:rsidRPr="0083231D">
        <w:t>Introduction of other therapeutic substance into lower G.I. via natural or artificial opening</w:t>
      </w:r>
    </w:p>
    <w:p w14:paraId="5D72989E" w14:textId="77777777" w:rsidR="0083231D" w:rsidRDefault="0083231D" w:rsidP="0083231D">
      <w:pPr>
        <w:pStyle w:val="body"/>
      </w:pPr>
    </w:p>
    <w:p w14:paraId="402C6DFE" w14:textId="14F76A03" w:rsidR="0083231D" w:rsidRPr="0083231D" w:rsidRDefault="0083231D" w:rsidP="0083231D">
      <w:pPr>
        <w:pStyle w:val="body"/>
      </w:pPr>
      <w:r w:rsidRPr="0083231D">
        <w:t>For discharge date</w:t>
      </w:r>
      <w:r>
        <w:t>d</w:t>
      </w:r>
      <w:r w:rsidRPr="0083231D">
        <w:t xml:space="preserve"> on or after </w:t>
      </w:r>
      <w:r w:rsidRPr="0083231D">
        <w:rPr>
          <w:b/>
          <w:bCs/>
        </w:rPr>
        <w:t>January 1, 2021</w:t>
      </w:r>
      <w:r>
        <w:rPr>
          <w:b/>
          <w:bCs/>
        </w:rPr>
        <w:t>,</w:t>
      </w:r>
      <w:r w:rsidRPr="0083231D">
        <w:t xml:space="preserve"> the following ICD-10-PCS codes are required to report the </w:t>
      </w:r>
      <w:proofErr w:type="spellStart"/>
      <w:r w:rsidRPr="0083231D">
        <w:rPr>
          <w:b/>
          <w:bCs/>
        </w:rPr>
        <w:t>baricitinib</w:t>
      </w:r>
      <w:proofErr w:type="spellEnd"/>
      <w:r w:rsidRPr="0083231D">
        <w:rPr>
          <w:b/>
          <w:bCs/>
        </w:rPr>
        <w:t xml:space="preserve"> (Olumiant)</w:t>
      </w:r>
      <w:r w:rsidRPr="0083231D">
        <w:t xml:space="preserve">: </w:t>
      </w:r>
    </w:p>
    <w:p w14:paraId="03848570" w14:textId="72AAAE8F" w:rsidR="0083231D" w:rsidRPr="00D908EA" w:rsidRDefault="0083231D" w:rsidP="0083231D">
      <w:pPr>
        <w:pStyle w:val="Bullets"/>
      </w:pPr>
      <w:r w:rsidRPr="00D908EA">
        <w:t>XW0DXM6</w:t>
      </w:r>
      <w:r>
        <w:t>,</w:t>
      </w:r>
      <w:r w:rsidRPr="00D908EA">
        <w:t xml:space="preserve"> Introduction of </w:t>
      </w:r>
      <w:proofErr w:type="spellStart"/>
      <w:r w:rsidRPr="00D908EA">
        <w:t>Baricitinib</w:t>
      </w:r>
      <w:proofErr w:type="spellEnd"/>
      <w:r w:rsidRPr="00D908EA">
        <w:t xml:space="preserve"> into Mouth and Pharynx, External Approach, New Technology Group 6</w:t>
      </w:r>
    </w:p>
    <w:p w14:paraId="0DFFDD34" w14:textId="18F78A01" w:rsidR="0083231D" w:rsidRPr="00D908EA" w:rsidRDefault="0083231D" w:rsidP="0083231D">
      <w:pPr>
        <w:pStyle w:val="Bullets"/>
      </w:pPr>
      <w:r w:rsidRPr="00D908EA">
        <w:t>XW0G7M6</w:t>
      </w:r>
      <w:r>
        <w:t>,</w:t>
      </w:r>
      <w:r w:rsidRPr="00D908EA">
        <w:t xml:space="preserve"> Introduction of </w:t>
      </w:r>
      <w:proofErr w:type="spellStart"/>
      <w:r w:rsidRPr="00D908EA">
        <w:t>Baricitinib</w:t>
      </w:r>
      <w:proofErr w:type="spellEnd"/>
      <w:r w:rsidRPr="00D908EA">
        <w:t xml:space="preserve"> into Upper GI, Via Natural or Artificial Opening, New Technology Group 6</w:t>
      </w:r>
    </w:p>
    <w:p w14:paraId="2BD5BA41" w14:textId="6B760B1F" w:rsidR="0083231D" w:rsidRPr="00D908EA" w:rsidRDefault="0083231D" w:rsidP="0083231D">
      <w:pPr>
        <w:pStyle w:val="Bullets"/>
      </w:pPr>
      <w:r w:rsidRPr="00D908EA">
        <w:t>XW0H7M6</w:t>
      </w:r>
      <w:r>
        <w:t>,</w:t>
      </w:r>
      <w:r w:rsidRPr="00D908EA">
        <w:t xml:space="preserve"> Introduction of </w:t>
      </w:r>
      <w:proofErr w:type="spellStart"/>
      <w:r w:rsidRPr="00D908EA">
        <w:t>Baricitinib</w:t>
      </w:r>
      <w:proofErr w:type="spellEnd"/>
      <w:r w:rsidRPr="00D908EA">
        <w:t xml:space="preserve"> into Lower GI, Via Natural or Artificial Opening, New Technology Group 6</w:t>
      </w:r>
    </w:p>
    <w:p w14:paraId="33FBD048" w14:textId="77777777" w:rsidR="0083231D" w:rsidRDefault="0083231D" w:rsidP="0083231D">
      <w:pPr>
        <w:pStyle w:val="body"/>
      </w:pPr>
    </w:p>
    <w:p w14:paraId="41572974" w14:textId="4F836084" w:rsidR="0083231D" w:rsidRDefault="0083231D" w:rsidP="0083231D">
      <w:pPr>
        <w:pStyle w:val="body"/>
      </w:pPr>
      <w:r>
        <w:t xml:space="preserve">The NCTAP will remain in effect until the end of the COVID-19 </w:t>
      </w:r>
      <w:r>
        <w:t>public health emergency</w:t>
      </w:r>
      <w:r>
        <w:t>.</w:t>
      </w:r>
      <w:r>
        <w:t xml:space="preserve"> </w:t>
      </w:r>
      <w:r>
        <w:t>The interim final rule requires that the NCTAP pay hospitals the lesser of:</w:t>
      </w:r>
    </w:p>
    <w:p w14:paraId="63871B52" w14:textId="67BF29DF" w:rsidR="0083231D" w:rsidRDefault="0083231D" w:rsidP="0083231D">
      <w:pPr>
        <w:pStyle w:val="Bullets"/>
      </w:pPr>
      <w:r w:rsidRPr="00943F45">
        <w:t>(1) 65</w:t>
      </w:r>
      <w:r>
        <w:t xml:space="preserve">% </w:t>
      </w:r>
      <w:r w:rsidRPr="00943F45">
        <w:t xml:space="preserve">of the operating outlier threshold for the claim or </w:t>
      </w:r>
    </w:p>
    <w:p w14:paraId="2E6ABCF4" w14:textId="504544CD" w:rsidR="0083231D" w:rsidRPr="00D908EA" w:rsidRDefault="0083231D" w:rsidP="0083231D">
      <w:pPr>
        <w:pStyle w:val="Bullets"/>
      </w:pPr>
      <w:r w:rsidRPr="00943F45">
        <w:t>(2) 65</w:t>
      </w:r>
      <w:r>
        <w:t xml:space="preserve">% </w:t>
      </w:r>
      <w:r w:rsidRPr="00943F45">
        <w:t xml:space="preserve">of the amount by which the costs of the case exceed the standard DRG payment, including the adjustment to the relative weight under section 3710 of the </w:t>
      </w:r>
      <w:r>
        <w:t>Coronavirus Aid, Relief, and Economic Security (CARES)</w:t>
      </w:r>
      <w:r w:rsidRPr="00943F45">
        <w:t xml:space="preserve"> Act, for certain cases</w:t>
      </w:r>
      <w:r>
        <w:t xml:space="preserve"> </w:t>
      </w:r>
      <w:r w:rsidRPr="00D908EA">
        <w:t xml:space="preserve">that include the use of a drug or biological product currently authorized or approved for treating COVID-19. </w:t>
      </w:r>
    </w:p>
    <w:p w14:paraId="39BDA22B" w14:textId="77777777" w:rsidR="0083231D" w:rsidRDefault="0083231D" w:rsidP="0083231D"/>
    <w:p w14:paraId="4FDFAADD" w14:textId="43CA76DA" w:rsidR="0083231D" w:rsidRDefault="0083231D" w:rsidP="0083231D">
      <w:pPr>
        <w:pStyle w:val="body"/>
      </w:pPr>
      <w:r>
        <w:t xml:space="preserve">Note that not </w:t>
      </w:r>
      <w:r>
        <w:t>all</w:t>
      </w:r>
      <w:r>
        <w:t xml:space="preserve"> the ICD-10-PCS codes for COVID-19 treatments and vaccines recently released (effective August 1, 2020</w:t>
      </w:r>
      <w:r>
        <w:t>,</w:t>
      </w:r>
      <w:r>
        <w:t xml:space="preserve"> and January 1, 2021) qualify for the additional payment.</w:t>
      </w:r>
      <w:r>
        <w:t xml:space="preserve"> </w:t>
      </w:r>
      <w:r w:rsidRPr="00943F45">
        <w:t xml:space="preserve">CMS </w:t>
      </w:r>
      <w:r>
        <w:t xml:space="preserve">has indicated that it will provide </w:t>
      </w:r>
      <w:r w:rsidRPr="00943F45">
        <w:t xml:space="preserve">additional instruction on how eligible cases will be identified, </w:t>
      </w:r>
      <w:r>
        <w:t xml:space="preserve">for any </w:t>
      </w:r>
      <w:r w:rsidRPr="00943F45">
        <w:t xml:space="preserve">new treatments that may </w:t>
      </w:r>
      <w:r>
        <w:t>later qualify for the NCTAP</w:t>
      </w:r>
      <w:r w:rsidRPr="00943F45">
        <w:t>.</w:t>
      </w:r>
    </w:p>
    <w:p w14:paraId="52AAD266" w14:textId="77777777" w:rsidR="0083231D" w:rsidRDefault="0083231D" w:rsidP="0083231D">
      <w:pPr>
        <w:pStyle w:val="body"/>
      </w:pPr>
      <w:r>
        <w:t xml:space="preserve">To facilitate payment, clinical documentation and coding professionals will want to address the following issues. </w:t>
      </w:r>
    </w:p>
    <w:p w14:paraId="7E568564" w14:textId="52C9504B" w:rsidR="0083231D" w:rsidRPr="0083231D" w:rsidRDefault="0083231D" w:rsidP="0083231D">
      <w:pPr>
        <w:pStyle w:val="Bullets"/>
      </w:pPr>
      <w:r w:rsidRPr="0083231D">
        <w:rPr>
          <w:b/>
          <w:bCs/>
        </w:rPr>
        <w:t>The best health record sources</w:t>
      </w:r>
      <w:r w:rsidRPr="0083231D">
        <w:t xml:space="preserve"> to identify the administration of these drugs, such as the medication administration record and/or provider progress notes.</w:t>
      </w:r>
      <w:r>
        <w:t xml:space="preserve"> </w:t>
      </w:r>
      <w:r w:rsidRPr="0083231D">
        <w:t xml:space="preserve">This may be of particular importance for the administration of the </w:t>
      </w:r>
      <w:proofErr w:type="spellStart"/>
      <w:r w:rsidRPr="0083231D">
        <w:t>baricitinib</w:t>
      </w:r>
      <w:proofErr w:type="spellEnd"/>
      <w:r w:rsidRPr="0083231D">
        <w:t xml:space="preserve"> which is typically administered orally but may also be given via gastrostomy feeding tube or nasogastric tube.</w:t>
      </w:r>
      <w:r w:rsidR="00C95BD3">
        <w:t xml:space="preserve"> (See </w:t>
      </w:r>
      <w:hyperlink r:id="rId7" w:history="1">
        <w:r w:rsidR="00C95BD3" w:rsidRPr="00C95BD3">
          <w:rPr>
            <w:rStyle w:val="webemailaddress"/>
          </w:rPr>
          <w:t>this document from the Federal Drug Administration</w:t>
        </w:r>
      </w:hyperlink>
      <w:r w:rsidR="00C95BD3">
        <w:t xml:space="preserve"> for more info.)</w:t>
      </w:r>
    </w:p>
    <w:p w14:paraId="58485493" w14:textId="027D94FC" w:rsidR="0083231D" w:rsidRPr="0083231D" w:rsidRDefault="0083231D" w:rsidP="0083231D">
      <w:pPr>
        <w:pStyle w:val="Bullets"/>
      </w:pPr>
      <w:r w:rsidRPr="0083231D">
        <w:rPr>
          <w:b/>
          <w:bCs/>
        </w:rPr>
        <w:t>The encoder pathway</w:t>
      </w:r>
      <w:r w:rsidRPr="0083231D">
        <w:t xml:space="preserve"> to be used to locate the appropriate ICD-10-PCS code(s).</w:t>
      </w:r>
      <w:r>
        <w:t xml:space="preserve"> </w:t>
      </w:r>
      <w:r w:rsidRPr="0083231D">
        <w:t xml:space="preserve">Note that the codes for </w:t>
      </w:r>
      <w:proofErr w:type="spellStart"/>
      <w:r w:rsidRPr="0083231D">
        <w:t>baricitinib</w:t>
      </w:r>
      <w:proofErr w:type="spellEnd"/>
      <w:r w:rsidRPr="0083231D">
        <w:t xml:space="preserve"> prior to January 1, 2021, do not uniquely identify the </w:t>
      </w:r>
      <w:proofErr w:type="spellStart"/>
      <w:r w:rsidRPr="0083231D">
        <w:t>baricitinib</w:t>
      </w:r>
      <w:proofErr w:type="spellEnd"/>
      <w:r w:rsidRPr="0083231D">
        <w:t>.</w:t>
      </w:r>
      <w:r>
        <w:t xml:space="preserve"> </w:t>
      </w:r>
      <w:r w:rsidRPr="0083231D">
        <w:t xml:space="preserve">The code for the oral administration </w:t>
      </w:r>
      <w:proofErr w:type="gramStart"/>
      <w:r w:rsidRPr="0083231D">
        <w:t>is</w:t>
      </w:r>
      <w:r>
        <w:t xml:space="preserve"> </w:t>
      </w:r>
      <w:r w:rsidRPr="0083231D">
        <w:t>located in</w:t>
      </w:r>
      <w:proofErr w:type="gramEnd"/>
      <w:r w:rsidRPr="0083231D">
        <w:t xml:space="preserve"> the New Technology XW0 table and the codes for the administration via artificial opening are found in the 3E0 Introduction Table. </w:t>
      </w:r>
    </w:p>
    <w:p w14:paraId="69E15FFF" w14:textId="3083769F" w:rsidR="0083231D" w:rsidRPr="0083231D" w:rsidRDefault="0083231D" w:rsidP="0083231D">
      <w:pPr>
        <w:pStyle w:val="Bullets"/>
      </w:pPr>
      <w:r w:rsidRPr="0083231D">
        <w:t xml:space="preserve">Determine whether an </w:t>
      </w:r>
      <w:r w:rsidRPr="0083231D">
        <w:rPr>
          <w:b/>
          <w:bCs/>
        </w:rPr>
        <w:t xml:space="preserve">alert can be created for the </w:t>
      </w:r>
      <w:r>
        <w:rPr>
          <w:b/>
          <w:bCs/>
        </w:rPr>
        <w:t>EHR</w:t>
      </w:r>
      <w:r w:rsidRPr="0083231D">
        <w:t xml:space="preserve"> to notify the coding and CDI staff of cases that have charges for these treatments posted to the case.</w:t>
      </w:r>
      <w:r>
        <w:t xml:space="preserve"> </w:t>
      </w:r>
    </w:p>
    <w:p w14:paraId="062C9640" w14:textId="02F8137A" w:rsidR="0083231D" w:rsidRPr="0083231D" w:rsidRDefault="0083231D" w:rsidP="0083231D">
      <w:pPr>
        <w:pStyle w:val="Bullets"/>
      </w:pPr>
      <w:r w:rsidRPr="0083231D">
        <w:t xml:space="preserve">Ensure that CDI and coding professionals are aware that the many </w:t>
      </w:r>
      <w:r w:rsidRPr="0083231D">
        <w:rPr>
          <w:b/>
          <w:bCs/>
        </w:rPr>
        <w:t>newly created ICD-10-PCS codes for</w:t>
      </w:r>
      <w:r>
        <w:rPr>
          <w:b/>
          <w:bCs/>
        </w:rPr>
        <w:t xml:space="preserve"> </w:t>
      </w:r>
      <w:r w:rsidRPr="0083231D">
        <w:rPr>
          <w:b/>
          <w:bCs/>
        </w:rPr>
        <w:t>COVID-19 treatments are only intended for use when these drugs are being administered to treat COVID-19</w:t>
      </w:r>
      <w:r w:rsidRPr="0083231D">
        <w:t>. That is, it is incorrect to assign these codes for when the drug is administered for a non-COVID-19 medical condition.</w:t>
      </w:r>
      <w:r>
        <w:t xml:space="preserve"> </w:t>
      </w:r>
      <w:r w:rsidR="00C95BD3">
        <w:t xml:space="preserve">(See the </w:t>
      </w:r>
      <w:hyperlink r:id="rId8" w:history="1">
        <w:r w:rsidR="00C95BD3" w:rsidRPr="00C95BD3">
          <w:rPr>
            <w:rStyle w:val="webemailaddress"/>
            <w:i/>
            <w:iCs w:val="0"/>
          </w:rPr>
          <w:t>Coding Clinic</w:t>
        </w:r>
        <w:r w:rsidR="00C95BD3" w:rsidRPr="00C95BD3">
          <w:rPr>
            <w:rStyle w:val="webemailaddress"/>
          </w:rPr>
          <w:t xml:space="preserve"> Frequently Asked Questions on COVID-19</w:t>
        </w:r>
      </w:hyperlink>
      <w:r w:rsidR="00C95BD3">
        <w:t xml:space="preserve"> for more info.)</w:t>
      </w:r>
    </w:p>
    <w:p w14:paraId="778CDC34" w14:textId="77777777" w:rsidR="0083231D" w:rsidRDefault="0083231D" w:rsidP="0083231D"/>
    <w:p w14:paraId="74FCC327" w14:textId="291FE225" w:rsidR="0083231D" w:rsidRDefault="0083231D" w:rsidP="0083231D">
      <w:pPr>
        <w:pStyle w:val="body"/>
      </w:pPr>
      <w:r>
        <w:t xml:space="preserve">More information on the NCTAP is available in the interim final rule published in the Federal Register on November 6, 2020. </w:t>
      </w:r>
      <w:hyperlink r:id="rId9" w:history="1">
        <w:r w:rsidR="00C95BD3">
          <w:rPr>
            <w:rStyle w:val="webemailaddress"/>
          </w:rPr>
          <w:t>Click here to read it</w:t>
        </w:r>
      </w:hyperlink>
      <w:r>
        <w:t xml:space="preserve">. </w:t>
      </w:r>
    </w:p>
    <w:p w14:paraId="2B93ABC5" w14:textId="18021AE4" w:rsidR="0083231D" w:rsidRDefault="0083231D" w:rsidP="00C95BD3">
      <w:pPr>
        <w:pStyle w:val="body"/>
      </w:pPr>
      <w:r>
        <w:lastRenderedPageBreak/>
        <w:t xml:space="preserve">Additional information is also available in </w:t>
      </w:r>
      <w:hyperlink r:id="rId10" w:history="1">
        <w:r w:rsidRPr="00C95BD3">
          <w:rPr>
            <w:rStyle w:val="webemailaddress"/>
          </w:rPr>
          <w:t>the CMS</w:t>
        </w:r>
        <w:r w:rsidR="00C95BD3" w:rsidRPr="00C95BD3">
          <w:rPr>
            <w:rStyle w:val="webemailaddress"/>
          </w:rPr>
          <w:t xml:space="preserve"> </w:t>
        </w:r>
        <w:r w:rsidRPr="00C95BD3">
          <w:rPr>
            <w:rStyle w:val="webemailaddress"/>
          </w:rPr>
          <w:t>NCTAP announcement</w:t>
        </w:r>
      </w:hyperlink>
      <w:r>
        <w:t>, last modified on December 18, 2020.</w:t>
      </w:r>
      <w:r>
        <w:t xml:space="preserve"> </w:t>
      </w:r>
    </w:p>
    <w:p w14:paraId="54D15543" w14:textId="41185325" w:rsidR="00C95BD3" w:rsidRDefault="00C95BD3" w:rsidP="00C95BD3">
      <w:pPr>
        <w:pStyle w:val="EditorsNote"/>
        <w:rPr>
          <w:b/>
          <w:bCs/>
        </w:rPr>
      </w:pPr>
      <w:r w:rsidRPr="00C95BD3">
        <w:rPr>
          <w:rStyle w:val="Editorsnote0"/>
        </w:rPr>
        <w:t>Editor’s note:</w:t>
      </w:r>
      <w:r>
        <w:rPr>
          <w:b/>
          <w:bCs/>
        </w:rPr>
        <w:t xml:space="preserve"> </w:t>
      </w:r>
      <w:r>
        <w:rPr>
          <w:shd w:val="clear" w:color="auto" w:fill="FFFFFF"/>
        </w:rPr>
        <w:t xml:space="preserve">ACDIS would like to thank </w:t>
      </w:r>
      <w:r>
        <w:rPr>
          <w:shd w:val="clear" w:color="auto" w:fill="FFFFFF"/>
        </w:rPr>
        <w:t>Margaret Foley, PhD, CCS, RHIA, Kay Piper, RHIA, CDIP, CCS, and Susan Wallace, MEd, RHIA, CCCS, CDIP, CCDS, FAHIMA,</w:t>
      </w:r>
      <w:r>
        <w:rPr>
          <w:shd w:val="clear" w:color="auto" w:fill="FFFFFF"/>
        </w:rPr>
        <w:t xml:space="preserve"> for principal authorship of this statement and the members of the ACDIS Regulatory Committee for reviewing this publication.</w:t>
      </w:r>
    </w:p>
    <w:p w14:paraId="3FB2C578" w14:textId="2D54FD81" w:rsidR="00BE29B6" w:rsidRPr="003B4C75" w:rsidRDefault="00BE29B6" w:rsidP="003B4C75"/>
    <w:sectPr w:rsidR="00BE29B6" w:rsidRPr="003B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E774" w14:textId="77777777" w:rsidR="0083231D" w:rsidRDefault="0083231D" w:rsidP="0083231D">
      <w:r>
        <w:separator/>
      </w:r>
    </w:p>
  </w:endnote>
  <w:endnote w:type="continuationSeparator" w:id="0">
    <w:p w14:paraId="6CE194F4" w14:textId="77777777" w:rsidR="0083231D" w:rsidRDefault="0083231D" w:rsidP="0083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HelveticaNeueLTStd-It">
    <w:altName w:val="HelveticaNeueLT Std"/>
    <w:panose1 w:val="020B0604020202090204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T Std 75">
    <w:altName w:val="Arial"/>
    <w:charset w:val="00"/>
    <w:family w:val="auto"/>
    <w:pitch w:val="fixed"/>
    <w:sig w:usb0="800000AF" w:usb1="4000204A" w:usb2="00000000" w:usb3="00000000" w:csb0="00000001" w:csb1="00000000"/>
  </w:font>
  <w:font w:name="HelveticaNeueLTStd-Bd">
    <w:altName w:val="HelveticaNeueLT Std"/>
    <w:panose1 w:val="020B0804020202020204"/>
    <w:charset w:val="00"/>
    <w:family w:val="auto"/>
    <w:pitch w:val="variable"/>
    <w:sig w:usb0="800000AF" w:usb1="4000204A" w:usb2="00000000" w:usb3="00000000" w:csb0="00000001" w:csb1="00000000"/>
  </w:font>
  <w:font w:name="HelveticaNeueLT Std Lt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Lt">
    <w:altName w:val="HelveticaNeueLT Std Lt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GriffithGothic Black">
    <w:charset w:val="00"/>
    <w:family w:val="modern"/>
    <w:notTrueType/>
    <w:pitch w:val="variable"/>
    <w:sig w:usb0="00000003" w:usb1="00000000" w:usb2="00000000" w:usb3="00000000" w:csb0="00000001" w:csb1="00000000"/>
  </w:font>
  <w:font w:name="GriffithGothic-Black">
    <w:altName w:val="GriffithGothic Black"/>
    <w:panose1 w:val="02000603060000020004"/>
    <w:charset w:val="00"/>
    <w:family w:val="auto"/>
    <w:pitch w:val="variable"/>
    <w:sig w:usb0="00000003" w:usb1="00000000" w:usb2="00000000" w:usb3="00000000" w:csb0="00000001" w:csb1="00000000"/>
  </w:font>
  <w:font w:name="HelveticaNeueLT Std Cn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Cn">
    <w:altName w:val="HelveticaNeueLT Std Cn"/>
    <w:panose1 w:val="020B0706030502030204"/>
    <w:charset w:val="00"/>
    <w:family w:val="auto"/>
    <w:pitch w:val="variable"/>
    <w:sig w:usb0="800000AF" w:usb1="4000204A" w:usb2="00000000" w:usb3="00000000" w:csb0="00000001" w:csb1="00000000"/>
  </w:font>
  <w:font w:name="GriffithGothic">
    <w:altName w:val="Calibri"/>
    <w:charset w:val="00"/>
    <w:family w:val="auto"/>
    <w:pitch w:val="fixed"/>
    <w:sig w:usb0="00000003" w:usb1="00000000" w:usb2="00000000" w:usb3="00000000" w:csb0="00000001" w:csb1="00000000"/>
  </w:font>
  <w:font w:name="GriffithGothic-Regular">
    <w:altName w:val="GriffithGothic Regular"/>
    <w:panose1 w:val="02000603050000020004"/>
    <w:charset w:val="00"/>
    <w:family w:val="auto"/>
    <w:pitch w:val="variable"/>
    <w:sig w:usb0="00000003" w:usb1="00000000" w:usb2="00000000" w:usb3="00000000" w:csb0="00000001" w:csb1="00000000"/>
  </w:font>
  <w:font w:name="Helvetica Neue LT Std 76">
    <w:altName w:val="Arial"/>
    <w:charset w:val="00"/>
    <w:family w:val="auto"/>
    <w:pitch w:val="fixed"/>
    <w:sig w:usb0="800000AF" w:usb1="4000204A" w:usb2="00000000" w:usb3="00000000" w:csb0="00000001" w:csb1="00000000"/>
  </w:font>
  <w:font w:name="HelveticaNeueLTStd-BdIt">
    <w:altName w:val="HelveticaNeueLT Std"/>
    <w:panose1 w:val="020B0804020202090204"/>
    <w:charset w:val="00"/>
    <w:family w:val="auto"/>
    <w:pitch w:val="variable"/>
    <w:sig w:usb0="800000AF" w:usb1="4000204A" w:usb2="00000000" w:usb3="00000000" w:csb0="00000001" w:csb1="00000000"/>
  </w:font>
  <w:font w:name="Helvetica Neue LT Std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-Bold">
    <w:altName w:val="Sylfaen"/>
    <w:charset w:val="00"/>
    <w:family w:val="swiss"/>
    <w:pitch w:val="variable"/>
    <w:sig w:usb0="E50002FF" w:usb1="500079DB" w:usb2="00001010" w:usb3="00000000" w:csb0="00000001" w:csb1="00000000"/>
  </w:font>
  <w:font w:name="Helvetica Neue LT Std 56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 LT Std 77 Bold C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05DA" w14:textId="77777777" w:rsidR="0083231D" w:rsidRDefault="0083231D" w:rsidP="0083231D">
      <w:r>
        <w:separator/>
      </w:r>
    </w:p>
  </w:footnote>
  <w:footnote w:type="continuationSeparator" w:id="0">
    <w:p w14:paraId="503C7DF6" w14:textId="77777777" w:rsidR="0083231D" w:rsidRDefault="0083231D" w:rsidP="0083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9A9"/>
    <w:multiLevelType w:val="hybridMultilevel"/>
    <w:tmpl w:val="3454F758"/>
    <w:lvl w:ilvl="0" w:tplc="4B624958">
      <w:start w:val="1"/>
      <w:numFmt w:val="decimal"/>
      <w:pStyle w:val="Bullets-numb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D056F5"/>
    <w:multiLevelType w:val="hybridMultilevel"/>
    <w:tmpl w:val="739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16CD"/>
    <w:multiLevelType w:val="multilevel"/>
    <w:tmpl w:val="B0AE93B2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0B45CB"/>
    <w:multiLevelType w:val="hybridMultilevel"/>
    <w:tmpl w:val="700861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B07C55"/>
    <w:multiLevelType w:val="multilevel"/>
    <w:tmpl w:val="5BFE999E"/>
    <w:lvl w:ilvl="0">
      <w:start w:val="1"/>
      <w:numFmt w:val="bullet"/>
      <w:lvlText w:val=""/>
      <w:lvlJc w:val="left"/>
      <w:pPr>
        <w:ind w:left="900" w:hanging="360"/>
      </w:pPr>
      <w:rPr>
        <w:rFonts w:ascii="Zapf Dingbats" w:hAnsi="Zapf Dingbats" w:hint="default"/>
        <w:color w:val="660066"/>
        <w:sz w:val="20"/>
        <w:szCs w:val="2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B235EFA"/>
    <w:multiLevelType w:val="multilevel"/>
    <w:tmpl w:val="B0AE93B2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EE87E73"/>
    <w:multiLevelType w:val="hybridMultilevel"/>
    <w:tmpl w:val="98848C92"/>
    <w:lvl w:ilvl="0" w:tplc="033452DE">
      <w:numFmt w:val="bullet"/>
      <w:lvlText w:val="–"/>
      <w:lvlJc w:val="left"/>
      <w:pPr>
        <w:ind w:left="720" w:hanging="360"/>
      </w:pPr>
      <w:rPr>
        <w:rFonts w:ascii="HelveticaNeueLTStd-It" w:eastAsiaTheme="minorEastAsia" w:hAnsi="HelveticaNeueLTStd-It" w:cs="HelveticaNeueLTStd-I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6127"/>
    <w:multiLevelType w:val="hybridMultilevel"/>
    <w:tmpl w:val="B0AE93B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D5B589D"/>
    <w:multiLevelType w:val="multilevel"/>
    <w:tmpl w:val="B0AE93B2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08232C"/>
    <w:multiLevelType w:val="hybridMultilevel"/>
    <w:tmpl w:val="2D0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34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5033E8"/>
    <w:multiLevelType w:val="hybridMultilevel"/>
    <w:tmpl w:val="F098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76CD"/>
    <w:multiLevelType w:val="hybridMultilevel"/>
    <w:tmpl w:val="B0DC79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3863BB"/>
    <w:multiLevelType w:val="hybridMultilevel"/>
    <w:tmpl w:val="376A3C98"/>
    <w:lvl w:ilvl="0" w:tplc="9AA097C8">
      <w:start w:val="1"/>
      <w:numFmt w:val="bullet"/>
      <w:pStyle w:val="Bullets"/>
      <w:lvlText w:val=""/>
      <w:lvlJc w:val="left"/>
      <w:pPr>
        <w:ind w:left="540" w:hanging="252"/>
      </w:pPr>
      <w:rPr>
        <w:rFonts w:ascii="Zapf Dingbats" w:hAnsi="Zapf Dingbats" w:hint="default"/>
        <w:color w:val="AD8CAA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DD706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9A10DA"/>
    <w:multiLevelType w:val="hybridMultilevel"/>
    <w:tmpl w:val="4D64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10FF"/>
    <w:multiLevelType w:val="hybridMultilevel"/>
    <w:tmpl w:val="5BF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8273E"/>
    <w:multiLevelType w:val="hybridMultilevel"/>
    <w:tmpl w:val="55529886"/>
    <w:lvl w:ilvl="0" w:tplc="B5C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E9E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C7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45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8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67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C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8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6A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E51E1B"/>
    <w:multiLevelType w:val="hybridMultilevel"/>
    <w:tmpl w:val="5E16E8B2"/>
    <w:lvl w:ilvl="0" w:tplc="7586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8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EA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4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0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48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E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A0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6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7"/>
  </w:num>
  <w:num w:numId="16">
    <w:abstractNumId w:val="18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08"/>
    <w:rsid w:val="00035AB5"/>
    <w:rsid w:val="001014E5"/>
    <w:rsid w:val="0012444D"/>
    <w:rsid w:val="001377F1"/>
    <w:rsid w:val="0019614C"/>
    <w:rsid w:val="00216329"/>
    <w:rsid w:val="00253C7B"/>
    <w:rsid w:val="00261D1E"/>
    <w:rsid w:val="00262285"/>
    <w:rsid w:val="0030668D"/>
    <w:rsid w:val="0031414F"/>
    <w:rsid w:val="003A4963"/>
    <w:rsid w:val="003B4C75"/>
    <w:rsid w:val="00405BD9"/>
    <w:rsid w:val="00462410"/>
    <w:rsid w:val="00520D88"/>
    <w:rsid w:val="006A6082"/>
    <w:rsid w:val="00720341"/>
    <w:rsid w:val="00755CAB"/>
    <w:rsid w:val="00791001"/>
    <w:rsid w:val="007D4E08"/>
    <w:rsid w:val="007E261A"/>
    <w:rsid w:val="0083231D"/>
    <w:rsid w:val="00881829"/>
    <w:rsid w:val="008B505E"/>
    <w:rsid w:val="008D4471"/>
    <w:rsid w:val="0096489D"/>
    <w:rsid w:val="009C6D52"/>
    <w:rsid w:val="00A22B8C"/>
    <w:rsid w:val="00A307B7"/>
    <w:rsid w:val="00A32190"/>
    <w:rsid w:val="00B920D5"/>
    <w:rsid w:val="00BE29B6"/>
    <w:rsid w:val="00C92722"/>
    <w:rsid w:val="00C95BD3"/>
    <w:rsid w:val="00CA3351"/>
    <w:rsid w:val="00CC6305"/>
    <w:rsid w:val="00CF39E1"/>
    <w:rsid w:val="00D02C5A"/>
    <w:rsid w:val="00D61BA7"/>
    <w:rsid w:val="00DC7D9B"/>
    <w:rsid w:val="00F47536"/>
    <w:rsid w:val="00F71B4D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5D3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 Use"/>
    <w:qFormat/>
  </w:style>
  <w:style w:type="paragraph" w:styleId="Heading1">
    <w:name w:val="heading 1"/>
    <w:aliases w:val="no Use 1"/>
    <w:basedOn w:val="Normal"/>
    <w:next w:val="Normal"/>
    <w:link w:val="Heading1Char"/>
    <w:uiPriority w:val="9"/>
    <w:qFormat/>
    <w:rsid w:val="008B5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o Use 2"/>
    <w:basedOn w:val="Normal"/>
    <w:next w:val="Normal"/>
    <w:link w:val="Heading2Char"/>
    <w:uiPriority w:val="9"/>
    <w:unhideWhenUsed/>
    <w:qFormat/>
    <w:rsid w:val="008B5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No Use 3"/>
    <w:basedOn w:val="Normal"/>
    <w:next w:val="Normal"/>
    <w:link w:val="Heading3Char"/>
    <w:uiPriority w:val="9"/>
    <w:semiHidden/>
    <w:unhideWhenUsed/>
    <w:qFormat/>
    <w:rsid w:val="00D61B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artmenthead">
    <w:name w:val="Department head"/>
    <w:basedOn w:val="Normal"/>
    <w:next w:val="Normal"/>
    <w:uiPriority w:val="99"/>
    <w:rsid w:val="0096489D"/>
    <w:pPr>
      <w:widowControl w:val="0"/>
      <w:suppressAutoHyphens/>
      <w:autoSpaceDE w:val="0"/>
      <w:autoSpaceDN w:val="0"/>
      <w:adjustRightInd w:val="0"/>
      <w:spacing w:after="270" w:line="400" w:lineRule="atLeast"/>
      <w:textAlignment w:val="center"/>
    </w:pPr>
    <w:rPr>
      <w:rFonts w:ascii="Helvetica Neue LT Std 75" w:hAnsi="Helvetica Neue LT Std 75" w:cs="HelveticaNeueLTStd-Bd"/>
      <w:bCs/>
      <w:color w:val="000000"/>
      <w:sz w:val="40"/>
      <w:szCs w:val="40"/>
    </w:rPr>
  </w:style>
  <w:style w:type="paragraph" w:customStyle="1" w:styleId="body">
    <w:name w:val="body"/>
    <w:basedOn w:val="Normal"/>
    <w:uiPriority w:val="99"/>
    <w:rsid w:val="00A22B8C"/>
    <w:pPr>
      <w:widowControl w:val="0"/>
      <w:suppressAutoHyphens/>
      <w:autoSpaceDE w:val="0"/>
      <w:autoSpaceDN w:val="0"/>
      <w:adjustRightInd w:val="0"/>
      <w:spacing w:after="90" w:line="300" w:lineRule="atLeast"/>
      <w:ind w:firstLine="180"/>
      <w:jc w:val="both"/>
      <w:textAlignment w:val="center"/>
    </w:pPr>
    <w:rPr>
      <w:rFonts w:ascii="HelveticaNeueLT Std Lt" w:hAnsi="HelveticaNeueLT Std Lt" w:cs="HelveticaNeueLTStd-Lt"/>
      <w:color w:val="000000"/>
      <w:spacing w:val="-1"/>
      <w:sz w:val="22"/>
      <w:szCs w:val="22"/>
    </w:rPr>
  </w:style>
  <w:style w:type="paragraph" w:customStyle="1" w:styleId="Bhead">
    <w:name w:val="B head"/>
    <w:basedOn w:val="Normal"/>
    <w:uiPriority w:val="99"/>
    <w:rsid w:val="00CA3351"/>
    <w:pPr>
      <w:widowControl w:val="0"/>
      <w:suppressAutoHyphens/>
      <w:autoSpaceDE w:val="0"/>
      <w:autoSpaceDN w:val="0"/>
      <w:adjustRightInd w:val="0"/>
      <w:spacing w:before="180" w:after="47" w:line="260" w:lineRule="atLeast"/>
      <w:textAlignment w:val="center"/>
    </w:pPr>
    <w:rPr>
      <w:rFonts w:ascii="GriffithGothic Black" w:hAnsi="GriffithGothic Black" w:cs="GriffithGothic-Black"/>
      <w:color w:val="F47A20"/>
    </w:rPr>
  </w:style>
  <w:style w:type="paragraph" w:customStyle="1" w:styleId="Kicker">
    <w:name w:val="Kicker"/>
    <w:basedOn w:val="Normal"/>
    <w:next w:val="Normal"/>
    <w:uiPriority w:val="99"/>
    <w:rsid w:val="00A32190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NeueLT Std Cn" w:hAnsi="HelveticaNeueLT Std Cn" w:cs="HelveticaNeueLTStd-BdCn"/>
      <w:b/>
      <w:bCs/>
      <w:caps/>
      <w:color w:val="595A59"/>
      <w:spacing w:val="-1"/>
      <w:sz w:val="28"/>
      <w:szCs w:val="28"/>
    </w:rPr>
  </w:style>
  <w:style w:type="paragraph" w:customStyle="1" w:styleId="Ahead">
    <w:name w:val="A head"/>
    <w:basedOn w:val="Normal"/>
    <w:next w:val="Normal"/>
    <w:uiPriority w:val="99"/>
    <w:rsid w:val="00D61BA7"/>
    <w:pPr>
      <w:widowControl w:val="0"/>
      <w:suppressAutoHyphens/>
      <w:autoSpaceDE w:val="0"/>
      <w:autoSpaceDN w:val="0"/>
      <w:adjustRightInd w:val="0"/>
      <w:spacing w:after="360" w:line="520" w:lineRule="atLeast"/>
      <w:textAlignment w:val="center"/>
    </w:pPr>
    <w:rPr>
      <w:rFonts w:ascii="GriffithGothic" w:hAnsi="GriffithGothic" w:cs="GriffithGothic-Regular"/>
      <w:color w:val="701370"/>
      <w:sz w:val="50"/>
      <w:szCs w:val="50"/>
    </w:rPr>
  </w:style>
  <w:style w:type="paragraph" w:customStyle="1" w:styleId="Byline">
    <w:name w:val="Byline"/>
    <w:basedOn w:val="Normal"/>
    <w:next w:val="Normal"/>
    <w:uiPriority w:val="99"/>
    <w:rsid w:val="0096489D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Helvetica Neue LT Std 76" w:hAnsi="Helvetica Neue LT Std 76" w:cs="HelveticaNeueLTStd-BdIt"/>
      <w:bCs/>
      <w:iCs/>
      <w:color w:val="000000"/>
      <w:spacing w:val="-1"/>
      <w:sz w:val="18"/>
      <w:szCs w:val="18"/>
    </w:rPr>
  </w:style>
  <w:style w:type="paragraph" w:customStyle="1" w:styleId="EditorsNote">
    <w:name w:val="Editors Note"/>
    <w:basedOn w:val="Normal"/>
    <w:next w:val="Normal"/>
    <w:uiPriority w:val="99"/>
    <w:rsid w:val="00A32190"/>
    <w:pPr>
      <w:widowControl w:val="0"/>
      <w:suppressAutoHyphens/>
      <w:autoSpaceDE w:val="0"/>
      <w:autoSpaceDN w:val="0"/>
      <w:adjustRightInd w:val="0"/>
      <w:spacing w:before="180" w:after="90" w:line="220" w:lineRule="atLeast"/>
      <w:jc w:val="both"/>
      <w:textAlignment w:val="center"/>
    </w:pPr>
    <w:rPr>
      <w:rFonts w:ascii="HelveticaNeueLTStd-Lt" w:hAnsi="HelveticaNeueLTStd-Lt" w:cs="HelveticaNeueLTStd-Lt"/>
      <w:color w:val="4D4D4C"/>
      <w:spacing w:val="-1"/>
      <w:sz w:val="18"/>
      <w:szCs w:val="18"/>
    </w:rPr>
  </w:style>
  <w:style w:type="paragraph" w:customStyle="1" w:styleId="Bullets">
    <w:name w:val="Bullets"/>
    <w:uiPriority w:val="99"/>
    <w:rsid w:val="0096489D"/>
    <w:pPr>
      <w:numPr>
        <w:numId w:val="4"/>
      </w:numPr>
    </w:pPr>
    <w:rPr>
      <w:rFonts w:ascii="Helvetica Neue LT Std 45 Light" w:hAnsi="Helvetica Neue LT Std 45 Light" w:cs="HelveticaNeueLTStd-Lt"/>
      <w:color w:val="000000"/>
      <w:spacing w:val="-1"/>
      <w:sz w:val="22"/>
      <w:szCs w:val="22"/>
    </w:rPr>
  </w:style>
  <w:style w:type="paragraph" w:customStyle="1" w:styleId="Bullets-number">
    <w:name w:val="Bullets-number"/>
    <w:basedOn w:val="Normal"/>
    <w:next w:val="Normal"/>
    <w:uiPriority w:val="99"/>
    <w:rsid w:val="008D4471"/>
    <w:pPr>
      <w:widowControl w:val="0"/>
      <w:numPr>
        <w:numId w:val="3"/>
      </w:num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HelveticaNeueLTStd-Lt" w:hAnsi="HelveticaNeueLTStd-Lt" w:cs="HelveticaNeueLTStd-Lt"/>
      <w:color w:val="000000"/>
      <w:spacing w:val="-1"/>
      <w:sz w:val="22"/>
      <w:szCs w:val="22"/>
    </w:rPr>
  </w:style>
  <w:style w:type="character" w:customStyle="1" w:styleId="Bold">
    <w:name w:val="Bold"/>
    <w:basedOn w:val="DefaultParagraphFont"/>
    <w:uiPriority w:val="99"/>
    <w:qFormat/>
    <w:rsid w:val="001377F1"/>
    <w:rPr>
      <w:rFonts w:ascii="Helvetica Neue LT Std 75" w:hAnsi="Helvetica Neue LT Std 75" w:cs="HelveticaNeue-Bold"/>
      <w:b w:val="0"/>
      <w:bCs/>
      <w:i w:val="0"/>
      <w:iCs w:val="0"/>
      <w:color w:val="000000"/>
      <w:spacing w:val="-2"/>
      <w:sz w:val="22"/>
      <w:szCs w:val="22"/>
    </w:rPr>
  </w:style>
  <w:style w:type="paragraph" w:customStyle="1" w:styleId="Pullquote">
    <w:name w:val="Pullquote"/>
    <w:next w:val="Pullquoteauthor"/>
    <w:uiPriority w:val="99"/>
    <w:rsid w:val="00BE29B6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Helvetica Neue LT Std 75" w:hAnsi="Helvetica Neue LT Std 75" w:cs="HelveticaNeueLTStd-Bd"/>
      <w:bCs/>
      <w:color w:val="701470"/>
      <w:spacing w:val="-1"/>
      <w:sz w:val="26"/>
      <w:szCs w:val="26"/>
    </w:rPr>
  </w:style>
  <w:style w:type="paragraph" w:customStyle="1" w:styleId="Pullquoteauthor">
    <w:name w:val="Pullquote author"/>
    <w:basedOn w:val="Normal"/>
    <w:next w:val="Normal"/>
    <w:uiPriority w:val="99"/>
    <w:rsid w:val="00BE29B6"/>
    <w:pPr>
      <w:widowControl w:val="0"/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Helvetica Neue LT Std 56" w:hAnsi="Helvetica Neue LT Std 56" w:cs="HelveticaNeueLTStd-It"/>
      <w:iCs/>
      <w:color w:val="701470"/>
      <w:spacing w:val="-1"/>
      <w:sz w:val="20"/>
      <w:szCs w:val="20"/>
    </w:rPr>
  </w:style>
  <w:style w:type="paragraph" w:customStyle="1" w:styleId="Kicker2">
    <w:name w:val="Kicker2"/>
    <w:basedOn w:val="Normal"/>
    <w:qFormat/>
    <w:rsid w:val="001377F1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Helvetica Neue LT Std 77 Bold C" w:hAnsi="Helvetica Neue LT Std 77 Bold C" w:cs="HelveticaNeue-Bold"/>
      <w:bCs/>
      <w:caps/>
      <w:color w:val="000000"/>
      <w:spacing w:val="-2"/>
      <w:sz w:val="28"/>
      <w:szCs w:val="22"/>
    </w:rPr>
  </w:style>
  <w:style w:type="paragraph" w:customStyle="1" w:styleId="TOCdepartment">
    <w:name w:val="TOC department"/>
    <w:basedOn w:val="Normal"/>
    <w:next w:val="Normal"/>
    <w:uiPriority w:val="99"/>
    <w:rsid w:val="00BE29B6"/>
    <w:pPr>
      <w:widowControl w:val="0"/>
      <w:tabs>
        <w:tab w:val="right" w:pos="8900"/>
        <w:tab w:val="right" w:pos="10422"/>
      </w:tabs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Helvetica Neue LT Std 77 Bold C" w:hAnsi="Helvetica Neue LT Std 77 Bold C" w:cs="HelveticaNeueLTStd-BdCn"/>
      <w:bCs/>
      <w:caps/>
      <w:color w:val="595A59"/>
      <w:sz w:val="36"/>
      <w:szCs w:val="36"/>
    </w:rPr>
  </w:style>
  <w:style w:type="paragraph" w:customStyle="1" w:styleId="TOChead">
    <w:name w:val="TOC head"/>
    <w:basedOn w:val="Normal"/>
    <w:next w:val="Normal"/>
    <w:uiPriority w:val="99"/>
    <w:rsid w:val="00BE29B6"/>
    <w:pPr>
      <w:widowControl w:val="0"/>
      <w:tabs>
        <w:tab w:val="left" w:pos="360"/>
        <w:tab w:val="right" w:pos="8900"/>
        <w:tab w:val="right" w:pos="10422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Helvetica Neue LT Std 77 Bold C" w:hAnsi="Helvetica Neue LT Std 77 Bold C" w:cs="HelveticaNeueLTStd-BdCn"/>
      <w:bCs/>
      <w:color w:val="6F1370"/>
      <w:sz w:val="22"/>
      <w:szCs w:val="22"/>
    </w:rPr>
  </w:style>
  <w:style w:type="paragraph" w:customStyle="1" w:styleId="TOCbody">
    <w:name w:val="TOC body"/>
    <w:uiPriority w:val="99"/>
    <w:rsid w:val="00F47536"/>
    <w:pPr>
      <w:widowControl w:val="0"/>
      <w:tabs>
        <w:tab w:val="left" w:pos="360"/>
        <w:tab w:val="right" w:pos="8900"/>
        <w:tab w:val="right" w:pos="10422"/>
      </w:tabs>
      <w:suppressAutoHyphens/>
      <w:autoSpaceDE w:val="0"/>
      <w:autoSpaceDN w:val="0"/>
      <w:adjustRightInd w:val="0"/>
      <w:spacing w:after="180" w:line="280" w:lineRule="atLeast"/>
      <w:ind w:left="360"/>
      <w:textAlignment w:val="center"/>
    </w:pPr>
    <w:rPr>
      <w:rFonts w:ascii="HelveticaNeueLT Std Lt" w:hAnsi="HelveticaNeueLT Std Lt" w:cs="HelveticaNeueLTStd-Lt"/>
      <w:color w:val="000000"/>
      <w:sz w:val="20"/>
      <w:szCs w:val="20"/>
    </w:rPr>
  </w:style>
  <w:style w:type="character" w:customStyle="1" w:styleId="Italic">
    <w:name w:val="Italic"/>
    <w:basedOn w:val="DefaultParagraphFont"/>
    <w:uiPriority w:val="99"/>
    <w:qFormat/>
    <w:rsid w:val="00A32190"/>
    <w:rPr>
      <w:rFonts w:ascii="Helvetica Neue LT Std 56" w:hAnsi="Helvetica Neue LT Std 56"/>
      <w:b w:val="0"/>
      <w:bCs w:val="0"/>
      <w:i/>
      <w:iCs/>
      <w:spacing w:val="-2"/>
      <w:sz w:val="22"/>
    </w:rPr>
  </w:style>
  <w:style w:type="character" w:customStyle="1" w:styleId="webemailaddress">
    <w:name w:val="web/email address"/>
    <w:uiPriority w:val="99"/>
    <w:rsid w:val="003B4C75"/>
    <w:rPr>
      <w:rFonts w:ascii="Helvetica Neue LT Std 56" w:hAnsi="Helvetica Neue LT Std 56"/>
      <w:b w:val="0"/>
      <w:bCs w:val="0"/>
      <w:i w:val="0"/>
      <w:iCs/>
      <w:color w:val="3E99C3"/>
    </w:rPr>
  </w:style>
  <w:style w:type="character" w:styleId="FollowedHyperlink">
    <w:name w:val="FollowedHyperlink"/>
    <w:basedOn w:val="DefaultParagraphFont"/>
    <w:uiPriority w:val="99"/>
    <w:semiHidden/>
    <w:unhideWhenUsed/>
    <w:rsid w:val="008D4471"/>
    <w:rPr>
      <w:color w:val="800080" w:themeColor="followedHyperlink"/>
      <w:u w:val="single"/>
    </w:rPr>
  </w:style>
  <w:style w:type="character" w:customStyle="1" w:styleId="Editorsnote0">
    <w:name w:val="Editors note"/>
    <w:uiPriority w:val="99"/>
    <w:rsid w:val="0019614C"/>
    <w:rPr>
      <w:rFonts w:ascii="Helvetica Neue LT Std 75" w:hAnsi="Helvetica Neue LT Std 75"/>
      <w:b w:val="0"/>
      <w:bCs/>
      <w:i w:val="0"/>
      <w:iCs w:val="0"/>
      <w:color w:val="701370"/>
    </w:rPr>
  </w:style>
  <w:style w:type="character" w:customStyle="1" w:styleId="Heading3Char">
    <w:name w:val="Heading 3 Char"/>
    <w:aliases w:val="No Use 3 Char"/>
    <w:basedOn w:val="DefaultParagraphFont"/>
    <w:link w:val="Heading3"/>
    <w:uiPriority w:val="9"/>
    <w:semiHidden/>
    <w:rsid w:val="00D61B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aliases w:val="no Use 1 Char"/>
    <w:basedOn w:val="DefaultParagraphFont"/>
    <w:link w:val="Heading1"/>
    <w:uiPriority w:val="9"/>
    <w:rsid w:val="008B50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o Use 2 Char"/>
    <w:basedOn w:val="DefaultParagraphFont"/>
    <w:link w:val="Heading2"/>
    <w:uiPriority w:val="9"/>
    <w:rsid w:val="008B5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ropcap">
    <w:name w:val="Drop cap"/>
    <w:rsid w:val="0012444D"/>
    <w:rPr>
      <w:rFonts w:ascii="Helvetica Neue LT Std 45 Light" w:hAnsi="Helvetica Neue LT Std 45 Light"/>
      <w:b w:val="0"/>
      <w:bCs w:val="0"/>
      <w:i w:val="0"/>
      <w:iCs w:val="0"/>
      <w:color w:val="F79646" w:themeColor="accent6"/>
      <w:spacing w:val="-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31D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31D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3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231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32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ingclinicadvisor.com/sites/default/files/Frequently%20Asked%20Questions%20Regarding%20COVID-19_v14C_Sec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media/143823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ms.gov/medicare/covid-19/covid-19-treatments-add-payment-nc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0/11/06/2020-24332/additional-policy-and-regulatory-revisions-in-response-to-the-covid-19-public-health-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McMahan</dc:creator>
  <cp:keywords/>
  <dc:description/>
  <cp:lastModifiedBy>Linnea Archibald</cp:lastModifiedBy>
  <cp:revision>2</cp:revision>
  <dcterms:created xsi:type="dcterms:W3CDTF">2021-01-06T14:15:00Z</dcterms:created>
  <dcterms:modified xsi:type="dcterms:W3CDTF">2021-01-06T14:15:00Z</dcterms:modified>
</cp:coreProperties>
</file>